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1677"/>
        <w:gridCol w:w="782"/>
        <w:gridCol w:w="43"/>
        <w:gridCol w:w="888"/>
        <w:gridCol w:w="344"/>
        <w:gridCol w:w="968"/>
        <w:gridCol w:w="88"/>
        <w:gridCol w:w="726"/>
        <w:gridCol w:w="518"/>
        <w:gridCol w:w="188"/>
        <w:gridCol w:w="712"/>
        <w:gridCol w:w="618"/>
      </w:tblGrid>
      <w:tr w:rsidR="001C0A05" w:rsidRPr="00AB4376" w:rsidTr="00DE13CC">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1C0A05" w:rsidRPr="00AB4376" w:rsidRDefault="001C0A05" w:rsidP="00DE13CC">
            <w:pPr>
              <w:spacing w:before="60" w:after="60" w:line="240" w:lineRule="auto"/>
              <w:ind w:left="397" w:hanging="397"/>
              <w:jc w:val="center"/>
              <w:rPr>
                <w:rFonts w:ascii="Arial" w:hAnsi="Arial" w:cs="Arial"/>
                <w:b/>
                <w:sz w:val="20"/>
                <w:szCs w:val="20"/>
              </w:rPr>
            </w:pPr>
            <w:r w:rsidRPr="00AB4376">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1C0A05" w:rsidRPr="00AB4376" w:rsidRDefault="001C0A05" w:rsidP="00DE13CC">
            <w:pPr>
              <w:spacing w:before="60" w:after="60" w:line="240" w:lineRule="auto"/>
              <w:ind w:left="397" w:hanging="397"/>
              <w:rPr>
                <w:rFonts w:ascii="Arial" w:hAnsi="Arial" w:cs="Arial"/>
                <w:b/>
                <w:sz w:val="20"/>
                <w:szCs w:val="20"/>
              </w:rPr>
            </w:pPr>
            <w:r w:rsidRPr="00AB4376">
              <w:rPr>
                <w:rFonts w:ascii="Arial" w:hAnsi="Arial" w:cs="Arial"/>
                <w:b/>
                <w:sz w:val="20"/>
                <w:szCs w:val="20"/>
              </w:rPr>
              <w:t>Bankovni menadžment</w:t>
            </w:r>
          </w:p>
        </w:tc>
      </w:tr>
      <w:tr w:rsidR="001C0A05" w:rsidRPr="00AB4376" w:rsidTr="00DE13CC">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1C0A05" w:rsidRPr="00AB4376" w:rsidRDefault="001C0A05" w:rsidP="00DE13CC">
            <w:pPr>
              <w:spacing w:after="0" w:line="240" w:lineRule="auto"/>
              <w:rPr>
                <w:rStyle w:val="Strong"/>
                <w:rFonts w:ascii="Arial" w:hAnsi="Arial" w:cs="Arial"/>
                <w:b w:val="0"/>
                <w:sz w:val="20"/>
                <w:szCs w:val="20"/>
              </w:rPr>
            </w:pPr>
            <w:r w:rsidRPr="00AB4376">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EUB412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2</w:t>
            </w:r>
          </w:p>
        </w:tc>
      </w:tr>
      <w:tr w:rsidR="001C0A05" w:rsidRPr="00AB4376" w:rsidTr="00DE13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1C0A05" w:rsidRPr="000D34CF" w:rsidRDefault="001C0A05" w:rsidP="00DE13CC">
            <w:pPr>
              <w:spacing w:after="0" w:line="240" w:lineRule="auto"/>
              <w:rPr>
                <w:rFonts w:ascii="Arial" w:hAnsi="Arial" w:cs="Arial"/>
                <w:sz w:val="20"/>
                <w:szCs w:val="20"/>
              </w:rPr>
            </w:pPr>
            <w:r w:rsidRPr="000D34CF">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rsidR="001C0A05" w:rsidRPr="000D34CF" w:rsidRDefault="001C0A05" w:rsidP="00DE13CC">
            <w:pPr>
              <w:spacing w:after="0" w:line="240" w:lineRule="auto"/>
              <w:rPr>
                <w:rFonts w:ascii="Arial" w:hAnsi="Arial" w:cs="Arial"/>
                <w:sz w:val="20"/>
                <w:szCs w:val="20"/>
              </w:rPr>
            </w:pPr>
            <w:r w:rsidRPr="000D34CF">
              <w:rPr>
                <w:rFonts w:ascii="Arial" w:hAnsi="Arial" w:cs="Arial"/>
                <w:sz w:val="20"/>
                <w:szCs w:val="20"/>
              </w:rPr>
              <w:t xml:space="preserve">Doc. dr. sc. Ana Kundid Novokmet, </w:t>
            </w:r>
          </w:p>
          <w:p w:rsidR="001C0A05" w:rsidRPr="000D34CF" w:rsidRDefault="00381DCA" w:rsidP="00DE13CC">
            <w:pPr>
              <w:spacing w:after="0" w:line="240" w:lineRule="auto"/>
              <w:rPr>
                <w:rFonts w:ascii="Arial" w:hAnsi="Arial" w:cs="Arial"/>
                <w:sz w:val="20"/>
                <w:szCs w:val="20"/>
              </w:rPr>
            </w:pPr>
            <w:r w:rsidRPr="000D34CF">
              <w:rPr>
                <w:rFonts w:ascii="Arial" w:hAnsi="Arial" w:cs="Arial"/>
                <w:sz w:val="20"/>
                <w:szCs w:val="20"/>
              </w:rPr>
              <w:t>Prof. dr. sc. Marijana Ćurak</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5</w:t>
            </w:r>
          </w:p>
        </w:tc>
      </w:tr>
      <w:tr w:rsidR="001C0A05" w:rsidRPr="00AB4376" w:rsidTr="00DE13CC">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rsidR="001C0A05" w:rsidRPr="00AB4376" w:rsidRDefault="001C0A05" w:rsidP="00DE13CC">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S</w:t>
            </w:r>
          </w:p>
        </w:tc>
        <w:tc>
          <w:tcPr>
            <w:tcW w:w="712" w:type="dxa"/>
            <w:tcBorders>
              <w:bottom w:val="single" w:sz="12" w:space="0" w:color="auto"/>
              <w:right w:val="single" w:sz="12"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V</w:t>
            </w:r>
          </w:p>
        </w:tc>
        <w:tc>
          <w:tcPr>
            <w:tcW w:w="618" w:type="dxa"/>
            <w:tcBorders>
              <w:bottom w:val="single" w:sz="12" w:space="0" w:color="auto"/>
              <w:right w:val="single" w:sz="12"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T</w:t>
            </w:r>
          </w:p>
        </w:tc>
      </w:tr>
      <w:tr w:rsidR="001C0A05" w:rsidRPr="00AB4376" w:rsidTr="00DE13CC">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1C0A05" w:rsidRPr="00AB4376" w:rsidRDefault="001C0A05" w:rsidP="00DE13CC">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rsidR="001C0A05" w:rsidRPr="00AB4376" w:rsidRDefault="001C0A05" w:rsidP="00DE13CC">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1C0A05" w:rsidRPr="00AB4376" w:rsidRDefault="001C0A05" w:rsidP="00DE13CC">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30</w:t>
            </w:r>
          </w:p>
        </w:tc>
        <w:tc>
          <w:tcPr>
            <w:tcW w:w="706" w:type="dxa"/>
            <w:gridSpan w:val="2"/>
            <w:tcBorders>
              <w:bottom w:val="single" w:sz="12" w:space="0" w:color="auto"/>
              <w:right w:val="single" w:sz="12" w:space="0" w:color="auto"/>
            </w:tcBorders>
            <w:vAlign w:val="center"/>
          </w:tcPr>
          <w:p w:rsidR="001C0A05" w:rsidRPr="00AB4376" w:rsidRDefault="001C0A05" w:rsidP="00DE13CC">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30</w:t>
            </w:r>
          </w:p>
        </w:tc>
        <w:tc>
          <w:tcPr>
            <w:tcW w:w="618" w:type="dxa"/>
            <w:tcBorders>
              <w:bottom w:val="single" w:sz="12" w:space="0" w:color="auto"/>
              <w:right w:val="single" w:sz="12" w:space="0" w:color="auto"/>
            </w:tcBorders>
            <w:vAlign w:val="center"/>
          </w:tcPr>
          <w:p w:rsidR="001C0A05" w:rsidRPr="00AB4376" w:rsidRDefault="001C0A05" w:rsidP="00DE13CC">
            <w:pPr>
              <w:spacing w:after="0" w:line="240" w:lineRule="auto"/>
              <w:rPr>
                <w:rFonts w:ascii="Arial" w:hAnsi="Arial" w:cs="Arial"/>
                <w:sz w:val="20"/>
                <w:szCs w:val="20"/>
              </w:rPr>
            </w:pPr>
          </w:p>
        </w:tc>
      </w:tr>
      <w:tr w:rsidR="001C0A05" w:rsidRPr="00AB4376" w:rsidTr="00DE13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Obvezni</w:t>
            </w:r>
            <w:r>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rsidR="001C0A05" w:rsidRPr="00AB4376" w:rsidRDefault="00F53080" w:rsidP="00DE13CC">
            <w:pPr>
              <w:spacing w:after="0" w:line="240" w:lineRule="auto"/>
              <w:rPr>
                <w:rFonts w:ascii="Arial" w:hAnsi="Arial" w:cs="Arial"/>
                <w:sz w:val="20"/>
                <w:szCs w:val="20"/>
              </w:rPr>
            </w:pPr>
            <w:r w:rsidRPr="00F53080">
              <w:rPr>
                <w:rFonts w:ascii="Arial" w:hAnsi="Arial" w:cs="Arial"/>
                <w:sz w:val="20"/>
                <w:szCs w:val="20"/>
              </w:rPr>
              <w:t>15%</w:t>
            </w:r>
          </w:p>
        </w:tc>
      </w:tr>
      <w:tr w:rsidR="001C0A05" w:rsidRPr="00AB4376" w:rsidTr="00DE13CC">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1C0A05" w:rsidRPr="00AB4376" w:rsidRDefault="001C0A05" w:rsidP="00DE13CC">
            <w:pPr>
              <w:tabs>
                <w:tab w:val="left" w:pos="2820"/>
              </w:tabs>
              <w:spacing w:after="0"/>
              <w:jc w:val="center"/>
              <w:rPr>
                <w:rFonts w:ascii="Arial" w:hAnsi="Arial" w:cs="Arial"/>
                <w:b/>
                <w:sz w:val="20"/>
                <w:szCs w:val="20"/>
              </w:rPr>
            </w:pPr>
            <w:r w:rsidRPr="00AB4376">
              <w:rPr>
                <w:rFonts w:ascii="Arial" w:hAnsi="Arial" w:cs="Arial"/>
                <w:b/>
                <w:sz w:val="20"/>
                <w:szCs w:val="20"/>
              </w:rPr>
              <w:t>OPIS PREDMETA</w:t>
            </w:r>
          </w:p>
        </w:tc>
      </w:tr>
      <w:tr w:rsidR="001C0A05" w:rsidRPr="00AB4376" w:rsidTr="00DE13CC">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1C0A05" w:rsidRPr="00AB4376" w:rsidRDefault="001C0A05" w:rsidP="00DE13CC">
            <w:pPr>
              <w:tabs>
                <w:tab w:val="left" w:pos="2820"/>
              </w:tabs>
              <w:spacing w:after="0" w:line="240" w:lineRule="auto"/>
              <w:rPr>
                <w:rFonts w:ascii="Arial" w:hAnsi="Arial" w:cs="Arial"/>
                <w:sz w:val="20"/>
                <w:szCs w:val="20"/>
              </w:rPr>
            </w:pPr>
            <w:r w:rsidRPr="00AB4376">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1C0A05" w:rsidRPr="00AB4376" w:rsidRDefault="001C0A05" w:rsidP="00DE13CC">
            <w:pPr>
              <w:tabs>
                <w:tab w:val="left" w:pos="2820"/>
              </w:tabs>
              <w:spacing w:after="0" w:line="240" w:lineRule="auto"/>
              <w:rPr>
                <w:rFonts w:ascii="Arial" w:hAnsi="Arial" w:cs="Arial"/>
                <w:sz w:val="20"/>
                <w:szCs w:val="20"/>
              </w:rPr>
            </w:pPr>
            <w:r w:rsidRPr="00AB4376">
              <w:rPr>
                <w:rFonts w:ascii="Arial" w:hAnsi="Arial" w:cs="Arial"/>
                <w:sz w:val="20"/>
                <w:szCs w:val="20"/>
              </w:rPr>
              <w:t>Osposobiti studente za valorizaciju financijske uspješnosti banke, mjerenje i procjenjivanje izloženosti banke pojedinim vrstama rizika, iznošenje preporuka vezanih uz izbor bankovne strategije te utvrđivanje načina prilagodbe banaka pojedinim regulatornim mjerama.</w:t>
            </w:r>
          </w:p>
        </w:tc>
      </w:tr>
      <w:tr w:rsidR="001C0A05" w:rsidRPr="00AB4376" w:rsidTr="00DE13CC">
        <w:tc>
          <w:tcPr>
            <w:tcW w:w="1912" w:type="dxa"/>
            <w:gridSpan w:val="2"/>
            <w:tcBorders>
              <w:left w:val="single" w:sz="12" w:space="0" w:color="auto"/>
            </w:tcBorders>
            <w:shd w:val="clear" w:color="auto" w:fill="CCFFFF"/>
            <w:tcMar>
              <w:left w:w="57" w:type="dxa"/>
              <w:right w:w="57" w:type="dxa"/>
            </w:tcMar>
            <w:vAlign w:val="center"/>
          </w:tcPr>
          <w:p w:rsidR="001C0A05" w:rsidRPr="00AB4376" w:rsidRDefault="001C0A05" w:rsidP="00DE13CC">
            <w:pPr>
              <w:tabs>
                <w:tab w:val="left" w:pos="2820"/>
              </w:tabs>
              <w:spacing w:after="0" w:line="240" w:lineRule="auto"/>
              <w:rPr>
                <w:rFonts w:ascii="Arial" w:hAnsi="Arial" w:cs="Arial"/>
                <w:sz w:val="20"/>
                <w:szCs w:val="20"/>
              </w:rPr>
            </w:pPr>
            <w:r w:rsidRPr="00AB4376">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1C0A05" w:rsidRPr="00AB4376" w:rsidRDefault="001C0A05" w:rsidP="00DE13CC">
            <w:pPr>
              <w:tabs>
                <w:tab w:val="left" w:pos="2820"/>
              </w:tabs>
              <w:spacing w:after="0" w:line="240" w:lineRule="auto"/>
              <w:rPr>
                <w:rFonts w:ascii="Arial" w:hAnsi="Arial" w:cs="Arial"/>
                <w:sz w:val="20"/>
                <w:szCs w:val="20"/>
              </w:rPr>
            </w:pPr>
            <w:r w:rsidRPr="00AB4376">
              <w:rPr>
                <w:rFonts w:ascii="Arial" w:hAnsi="Arial" w:cs="Arial"/>
                <w:sz w:val="20"/>
                <w:szCs w:val="20"/>
              </w:rPr>
              <w:t xml:space="preserve">Preduvjeti za upis kolegija propisani su Statutom Ekonomskog fakulteta te Pravilnikom o studiju i studiranju. </w:t>
            </w:r>
          </w:p>
          <w:p w:rsidR="001C0A05" w:rsidRPr="00AB4376" w:rsidRDefault="001C0A05" w:rsidP="00DE13CC">
            <w:pPr>
              <w:tabs>
                <w:tab w:val="left" w:pos="2820"/>
              </w:tabs>
              <w:spacing w:after="0" w:line="240" w:lineRule="auto"/>
              <w:rPr>
                <w:rFonts w:ascii="Arial" w:hAnsi="Arial" w:cs="Arial"/>
                <w:sz w:val="20"/>
                <w:szCs w:val="20"/>
              </w:rPr>
            </w:pPr>
            <w:r w:rsidRPr="00AB4376">
              <w:rPr>
                <w:rFonts w:ascii="Arial" w:hAnsi="Arial" w:cs="Arial"/>
                <w:sz w:val="20"/>
                <w:szCs w:val="20"/>
              </w:rPr>
              <w:t>Potrebno je poznavanje temeljnih pojmova iz područja financijskih tržišta, bankarstva i financijskog menadžmenta te položen ispit iz barem jednog kolegija koji obrađuje prethodno navedena područja (npr. „Financijska tržišta“, „Bankarstvo“, „Bankarstvo i osiguranje“, „Financijske institucije i tržišta“, „Financijski menadžment, „Burze i vrijednosnice“).</w:t>
            </w:r>
          </w:p>
        </w:tc>
      </w:tr>
      <w:tr w:rsidR="001C0A05" w:rsidRPr="00AB4376" w:rsidTr="00DE13CC">
        <w:tc>
          <w:tcPr>
            <w:tcW w:w="1912" w:type="dxa"/>
            <w:gridSpan w:val="2"/>
            <w:tcBorders>
              <w:left w:val="single" w:sz="12" w:space="0" w:color="auto"/>
            </w:tcBorders>
            <w:shd w:val="clear" w:color="auto" w:fill="CCFFFF"/>
            <w:tcMar>
              <w:left w:w="57" w:type="dxa"/>
              <w:right w:w="57" w:type="dxa"/>
            </w:tcMar>
            <w:vAlign w:val="center"/>
          </w:tcPr>
          <w:p w:rsidR="001C0A05" w:rsidRPr="00AB4376" w:rsidRDefault="001C0A05" w:rsidP="00DE13CC">
            <w:pPr>
              <w:tabs>
                <w:tab w:val="left" w:pos="2820"/>
              </w:tabs>
              <w:spacing w:after="0" w:line="240" w:lineRule="auto"/>
              <w:rPr>
                <w:rFonts w:ascii="Arial" w:hAnsi="Arial" w:cs="Arial"/>
                <w:sz w:val="20"/>
                <w:szCs w:val="20"/>
              </w:rPr>
            </w:pPr>
            <w:r w:rsidRPr="00AB4376">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1C0A05" w:rsidRPr="00AB4376" w:rsidRDefault="001C0A05" w:rsidP="00DE13CC">
            <w:pPr>
              <w:tabs>
                <w:tab w:val="left" w:pos="2820"/>
              </w:tabs>
              <w:spacing w:after="0" w:line="240" w:lineRule="auto"/>
              <w:rPr>
                <w:rFonts w:ascii="Arial" w:hAnsi="Arial" w:cs="Arial"/>
                <w:sz w:val="20"/>
                <w:szCs w:val="20"/>
              </w:rPr>
            </w:pPr>
            <w:r w:rsidRPr="00AB4376">
              <w:rPr>
                <w:rFonts w:ascii="Arial" w:hAnsi="Arial" w:cs="Arial"/>
                <w:sz w:val="20"/>
                <w:szCs w:val="20"/>
              </w:rPr>
              <w:t>Ishod učenja predmeta:</w:t>
            </w:r>
          </w:p>
          <w:p w:rsidR="001C0A05" w:rsidRPr="00AB4376" w:rsidRDefault="001C0A05" w:rsidP="00DE13CC">
            <w:pPr>
              <w:spacing w:after="0" w:line="240" w:lineRule="auto"/>
              <w:ind w:left="720"/>
              <w:rPr>
                <w:rFonts w:ascii="Arial" w:hAnsi="Arial" w:cs="Arial"/>
                <w:sz w:val="20"/>
                <w:szCs w:val="20"/>
              </w:rPr>
            </w:pPr>
            <w:r w:rsidRPr="00AB4376">
              <w:rPr>
                <w:rFonts w:ascii="Arial" w:hAnsi="Arial" w:cs="Arial"/>
                <w:sz w:val="20"/>
                <w:szCs w:val="20"/>
              </w:rPr>
              <w:t>Zaključiti o uspješnosti poslovanja pojedine banke, njenim snagama, slabostima, prilikama i prijetnjama s ciljem iznošenja preporuka o izboru bankovne strategije u kontekstu regulatornih propisivanja.</w:t>
            </w:r>
          </w:p>
          <w:p w:rsidR="001C0A05" w:rsidRPr="00AB4376" w:rsidRDefault="001C0A05" w:rsidP="00DE13CC">
            <w:pPr>
              <w:spacing w:after="0" w:line="240" w:lineRule="auto"/>
              <w:ind w:left="360"/>
              <w:rPr>
                <w:rFonts w:ascii="Arial" w:hAnsi="Arial" w:cs="Arial"/>
                <w:sz w:val="20"/>
                <w:szCs w:val="20"/>
              </w:rPr>
            </w:pPr>
          </w:p>
          <w:p w:rsidR="001C0A05" w:rsidRPr="00AB4376" w:rsidRDefault="001C0A05" w:rsidP="00DE13CC">
            <w:pPr>
              <w:tabs>
                <w:tab w:val="left" w:pos="2820"/>
              </w:tabs>
              <w:spacing w:after="0" w:line="240" w:lineRule="auto"/>
              <w:rPr>
                <w:rFonts w:ascii="Arial" w:hAnsi="Arial" w:cs="Arial"/>
                <w:sz w:val="20"/>
                <w:szCs w:val="20"/>
              </w:rPr>
            </w:pPr>
            <w:r w:rsidRPr="00AB4376">
              <w:rPr>
                <w:rFonts w:ascii="Arial" w:hAnsi="Arial" w:cs="Arial"/>
                <w:sz w:val="20"/>
                <w:szCs w:val="20"/>
              </w:rPr>
              <w:t>Pojedinačni ishodi učenja:</w:t>
            </w:r>
          </w:p>
          <w:p w:rsidR="001C0A05" w:rsidRPr="00D15560" w:rsidRDefault="00D15560" w:rsidP="001C0A05">
            <w:pPr>
              <w:numPr>
                <w:ilvl w:val="0"/>
                <w:numId w:val="6"/>
              </w:numPr>
              <w:spacing w:after="0" w:line="240" w:lineRule="auto"/>
              <w:ind w:left="714" w:hanging="357"/>
              <w:rPr>
                <w:rFonts w:ascii="Arial" w:hAnsi="Arial" w:cs="Arial"/>
                <w:sz w:val="20"/>
                <w:szCs w:val="20"/>
              </w:rPr>
            </w:pPr>
            <w:r w:rsidRPr="00D15560">
              <w:rPr>
                <w:rFonts w:ascii="Arial" w:hAnsi="Arial" w:cs="Arial"/>
                <w:sz w:val="20"/>
                <w:szCs w:val="20"/>
              </w:rPr>
              <w:t>U</w:t>
            </w:r>
            <w:r w:rsidR="001C0A05" w:rsidRPr="00D15560">
              <w:rPr>
                <w:rFonts w:ascii="Arial" w:hAnsi="Arial" w:cs="Arial"/>
                <w:sz w:val="20"/>
                <w:szCs w:val="20"/>
              </w:rPr>
              <w:t>sporediti koncep</w:t>
            </w:r>
            <w:r w:rsidRPr="00D15560">
              <w:rPr>
                <w:rFonts w:ascii="Arial" w:hAnsi="Arial" w:cs="Arial"/>
                <w:sz w:val="20"/>
                <w:szCs w:val="20"/>
              </w:rPr>
              <w:t xml:space="preserve">te </w:t>
            </w:r>
            <w:r w:rsidR="001C0A05" w:rsidRPr="00D15560">
              <w:rPr>
                <w:rFonts w:ascii="Arial" w:hAnsi="Arial" w:cs="Arial"/>
                <w:sz w:val="20"/>
                <w:szCs w:val="20"/>
              </w:rPr>
              <w:t>bankarstva prema različitim kriterijima.</w:t>
            </w:r>
          </w:p>
          <w:p w:rsidR="00D15560" w:rsidRPr="00D15560" w:rsidRDefault="00D15560" w:rsidP="00D15560">
            <w:pPr>
              <w:numPr>
                <w:ilvl w:val="0"/>
                <w:numId w:val="6"/>
              </w:numPr>
              <w:spacing w:after="0" w:line="240" w:lineRule="auto"/>
              <w:ind w:left="714" w:hanging="357"/>
              <w:rPr>
                <w:rFonts w:ascii="Arial" w:hAnsi="Arial" w:cs="Arial"/>
                <w:sz w:val="20"/>
                <w:szCs w:val="20"/>
              </w:rPr>
            </w:pPr>
            <w:r w:rsidRPr="00D15560">
              <w:rPr>
                <w:rFonts w:ascii="Arial" w:hAnsi="Arial" w:cs="Arial"/>
                <w:sz w:val="20"/>
                <w:szCs w:val="20"/>
              </w:rPr>
              <w:t>V</w:t>
            </w:r>
            <w:r w:rsidR="001C0A05" w:rsidRPr="00D15560">
              <w:rPr>
                <w:rFonts w:ascii="Arial" w:hAnsi="Arial" w:cs="Arial"/>
                <w:sz w:val="20"/>
                <w:szCs w:val="20"/>
              </w:rPr>
              <w:t xml:space="preserve">alorizirati uspješnost bankovnog poslovanja temeljem </w:t>
            </w:r>
            <w:r w:rsidRPr="00D15560">
              <w:rPr>
                <w:rFonts w:ascii="Arial" w:hAnsi="Arial" w:cs="Arial"/>
                <w:sz w:val="20"/>
                <w:szCs w:val="20"/>
              </w:rPr>
              <w:t>indikatora profitabilnosti</w:t>
            </w:r>
            <w:r w:rsidR="001C0A05" w:rsidRPr="00D15560">
              <w:rPr>
                <w:rFonts w:ascii="Arial" w:hAnsi="Arial" w:cs="Arial"/>
                <w:sz w:val="20"/>
                <w:szCs w:val="20"/>
              </w:rPr>
              <w:t>.</w:t>
            </w:r>
          </w:p>
          <w:p w:rsidR="00D15560" w:rsidRPr="00F53080" w:rsidRDefault="00D15560" w:rsidP="00F53080">
            <w:pPr>
              <w:numPr>
                <w:ilvl w:val="0"/>
                <w:numId w:val="6"/>
              </w:numPr>
              <w:spacing w:after="0" w:line="240" w:lineRule="auto"/>
              <w:ind w:left="714" w:hanging="357"/>
              <w:rPr>
                <w:rFonts w:ascii="Arial" w:eastAsia="Times New Roman" w:hAnsi="Arial" w:cs="Arial"/>
                <w:sz w:val="20"/>
                <w:szCs w:val="20"/>
                <w:lang w:eastAsia="hr-HR"/>
              </w:rPr>
            </w:pPr>
            <w:r w:rsidRPr="00F53080">
              <w:rPr>
                <w:rFonts w:ascii="Arial" w:eastAsia="Times New Roman" w:hAnsi="Arial" w:cs="Arial"/>
                <w:sz w:val="20"/>
                <w:szCs w:val="20"/>
                <w:lang w:eastAsia="hr-HR"/>
              </w:rPr>
              <w:t>Utvrditi ključne aspekte upravljanja pojedinim vrstama bankovnih rizika.</w:t>
            </w:r>
          </w:p>
          <w:p w:rsidR="00D15560" w:rsidRDefault="00D15560" w:rsidP="00F53080">
            <w:pPr>
              <w:pStyle w:val="ListParagraph"/>
              <w:numPr>
                <w:ilvl w:val="0"/>
                <w:numId w:val="6"/>
              </w:numPr>
              <w:rPr>
                <w:rFonts w:ascii="Arial" w:eastAsia="Times New Roman" w:hAnsi="Arial" w:cs="Arial"/>
                <w:sz w:val="20"/>
                <w:szCs w:val="20"/>
                <w:lang w:eastAsia="hr-HR"/>
              </w:rPr>
            </w:pPr>
            <w:r w:rsidRPr="00F53080">
              <w:rPr>
                <w:rFonts w:ascii="Arial" w:eastAsia="Times New Roman" w:hAnsi="Arial" w:cs="Arial"/>
                <w:sz w:val="20"/>
                <w:szCs w:val="20"/>
                <w:lang w:eastAsia="hr-HR"/>
              </w:rPr>
              <w:t>Opravdati primjenu pojedine bankovne strategije u domeni upravljanja financijama i rizicima.</w:t>
            </w:r>
          </w:p>
          <w:p w:rsidR="001C0A05" w:rsidRPr="00D15560" w:rsidRDefault="00D15560" w:rsidP="00F53080">
            <w:pPr>
              <w:pStyle w:val="ListParagraph"/>
              <w:numPr>
                <w:ilvl w:val="0"/>
                <w:numId w:val="6"/>
              </w:numPr>
            </w:pPr>
            <w:r w:rsidRPr="00F53080">
              <w:rPr>
                <w:rFonts w:ascii="Arial" w:eastAsia="Times New Roman" w:hAnsi="Arial" w:cs="Arial"/>
                <w:sz w:val="20"/>
                <w:szCs w:val="20"/>
                <w:lang w:eastAsia="hr-HR"/>
              </w:rPr>
              <w:t>Utvrditi efekte primjene pojedinih bankovnih regulatornih mjera.</w:t>
            </w:r>
          </w:p>
          <w:p w:rsidR="00D15560" w:rsidRPr="00AB4376" w:rsidRDefault="00D15560" w:rsidP="00F53080">
            <w:pPr>
              <w:tabs>
                <w:tab w:val="left" w:pos="2820"/>
              </w:tabs>
              <w:spacing w:after="0" w:line="240" w:lineRule="auto"/>
              <w:rPr>
                <w:rFonts w:ascii="Arial" w:hAnsi="Arial" w:cs="Arial"/>
                <w:sz w:val="20"/>
                <w:szCs w:val="20"/>
              </w:rPr>
            </w:pPr>
          </w:p>
        </w:tc>
      </w:tr>
      <w:tr w:rsidR="001C0A05" w:rsidRPr="00AB4376" w:rsidTr="00DE13CC">
        <w:tc>
          <w:tcPr>
            <w:tcW w:w="1912" w:type="dxa"/>
            <w:gridSpan w:val="2"/>
            <w:tcBorders>
              <w:left w:val="single" w:sz="12" w:space="0" w:color="auto"/>
            </w:tcBorders>
            <w:shd w:val="clear" w:color="auto" w:fill="CCFFFF"/>
            <w:tcMar>
              <w:left w:w="57" w:type="dxa"/>
              <w:right w:w="57" w:type="dxa"/>
            </w:tcMar>
            <w:vAlign w:val="center"/>
          </w:tcPr>
          <w:p w:rsidR="001C0A05" w:rsidRPr="00AB4376" w:rsidRDefault="001C0A05" w:rsidP="00DE13CC">
            <w:pPr>
              <w:tabs>
                <w:tab w:val="left" w:pos="2820"/>
              </w:tabs>
              <w:spacing w:after="0" w:line="240" w:lineRule="auto"/>
              <w:rPr>
                <w:rFonts w:ascii="Arial" w:hAnsi="Arial" w:cs="Arial"/>
                <w:sz w:val="20"/>
                <w:szCs w:val="20"/>
              </w:rPr>
            </w:pPr>
            <w:r w:rsidRPr="00AB4376">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7"/>
              <w:gridCol w:w="2946"/>
              <w:gridCol w:w="472"/>
              <w:gridCol w:w="3009"/>
              <w:gridCol w:w="471"/>
            </w:tblGrid>
            <w:tr w:rsidR="001C0A05" w:rsidRPr="00AB4376" w:rsidTr="00DE13CC">
              <w:tc>
                <w:tcPr>
                  <w:tcW w:w="422" w:type="dxa"/>
                  <w:vMerge w:val="restart"/>
                  <w:tcBorders>
                    <w:top w:val="single" w:sz="18" w:space="0" w:color="auto"/>
                    <w:left w:val="single" w:sz="18" w:space="0" w:color="auto"/>
                    <w:right w:val="single" w:sz="18" w:space="0" w:color="auto"/>
                  </w:tcBorders>
                  <w:textDirection w:val="btLr"/>
                  <w:vAlign w:val="center"/>
                </w:tcPr>
                <w:p w:rsidR="001C0A05" w:rsidRPr="00AB4376" w:rsidRDefault="001C0A05" w:rsidP="00DE13CC">
                  <w:pPr>
                    <w:spacing w:after="0" w:line="240" w:lineRule="auto"/>
                    <w:ind w:left="113" w:right="113"/>
                    <w:jc w:val="center"/>
                    <w:rPr>
                      <w:rFonts w:ascii="Arial" w:hAnsi="Arial" w:cs="Arial"/>
                      <w:sz w:val="20"/>
                      <w:szCs w:val="20"/>
                    </w:rPr>
                  </w:pPr>
                  <w:r w:rsidRPr="00AB4376">
                    <w:rPr>
                      <w:rFonts w:ascii="Arial" w:hAnsi="Arial" w:cs="Arial"/>
                      <w:sz w:val="20"/>
                      <w:szCs w:val="20"/>
                    </w:rPr>
                    <w:t>Tjedan</w:t>
                  </w:r>
                </w:p>
              </w:tc>
              <w:tc>
                <w:tcPr>
                  <w:tcW w:w="2909" w:type="dxa"/>
                  <w:gridSpan w:val="2"/>
                  <w:tcBorders>
                    <w:top w:val="single" w:sz="18" w:space="0" w:color="auto"/>
                    <w:left w:val="single" w:sz="18" w:space="0" w:color="auto"/>
                    <w:bottom w:val="single" w:sz="4" w:space="0" w:color="auto"/>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Predavanja</w:t>
                  </w:r>
                </w:p>
              </w:tc>
              <w:tc>
                <w:tcPr>
                  <w:tcW w:w="2962" w:type="dxa"/>
                  <w:gridSpan w:val="2"/>
                  <w:tcBorders>
                    <w:top w:val="single" w:sz="18" w:space="0" w:color="auto"/>
                    <w:left w:val="single" w:sz="18" w:space="0" w:color="auto"/>
                    <w:bottom w:val="single" w:sz="4" w:space="0" w:color="auto"/>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Vježbe</w:t>
                  </w:r>
                </w:p>
              </w:tc>
            </w:tr>
            <w:tr w:rsidR="001C0A05" w:rsidRPr="00AB4376" w:rsidTr="00DE13CC">
              <w:trPr>
                <w:cantSplit/>
                <w:trHeight w:val="699"/>
              </w:trPr>
              <w:tc>
                <w:tcPr>
                  <w:tcW w:w="422" w:type="dxa"/>
                  <w:vMerge/>
                  <w:tcBorders>
                    <w:left w:val="single" w:sz="18" w:space="0" w:color="auto"/>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p>
              </w:tc>
              <w:tc>
                <w:tcPr>
                  <w:tcW w:w="2507" w:type="dxa"/>
                  <w:tcBorders>
                    <w:lef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Tema</w:t>
                  </w:r>
                </w:p>
              </w:tc>
              <w:tc>
                <w:tcPr>
                  <w:tcW w:w="402" w:type="dxa"/>
                  <w:tcBorders>
                    <w:right w:val="single" w:sz="18" w:space="0" w:color="auto"/>
                  </w:tcBorders>
                  <w:vAlign w:val="center"/>
                </w:tcPr>
                <w:p w:rsidR="001C0A05" w:rsidRPr="00AB4376" w:rsidRDefault="001C0A05" w:rsidP="00DE13CC">
                  <w:pPr>
                    <w:spacing w:after="0" w:line="240" w:lineRule="auto"/>
                    <w:ind w:left="-108" w:right="-108"/>
                    <w:jc w:val="center"/>
                    <w:rPr>
                      <w:rFonts w:ascii="Arial" w:hAnsi="Arial" w:cs="Arial"/>
                      <w:sz w:val="20"/>
                      <w:szCs w:val="20"/>
                    </w:rPr>
                  </w:pPr>
                  <w:r w:rsidRPr="00AB4376">
                    <w:rPr>
                      <w:rFonts w:ascii="Arial" w:hAnsi="Arial" w:cs="Arial"/>
                      <w:sz w:val="20"/>
                      <w:szCs w:val="20"/>
                    </w:rPr>
                    <w:t xml:space="preserve">Sati </w:t>
                  </w:r>
                </w:p>
              </w:tc>
              <w:tc>
                <w:tcPr>
                  <w:tcW w:w="2561" w:type="dxa"/>
                  <w:tcBorders>
                    <w:lef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Tema</w:t>
                  </w:r>
                </w:p>
              </w:tc>
              <w:tc>
                <w:tcPr>
                  <w:tcW w:w="401" w:type="dxa"/>
                  <w:tcBorders>
                    <w:right w:val="single" w:sz="18" w:space="0" w:color="auto"/>
                  </w:tcBorders>
                  <w:vAlign w:val="center"/>
                </w:tcPr>
                <w:p w:rsidR="001C0A05" w:rsidRPr="00AB4376" w:rsidRDefault="001C0A05" w:rsidP="00DE13CC">
                  <w:pPr>
                    <w:ind w:left="-108" w:right="-69"/>
                    <w:jc w:val="center"/>
                    <w:rPr>
                      <w:rFonts w:ascii="Arial" w:hAnsi="Arial" w:cs="Arial"/>
                      <w:sz w:val="16"/>
                      <w:szCs w:val="16"/>
                    </w:rPr>
                  </w:pPr>
                  <w:r w:rsidRPr="00AB4376">
                    <w:rPr>
                      <w:rFonts w:ascii="Arial" w:hAnsi="Arial" w:cs="Arial"/>
                      <w:sz w:val="16"/>
                      <w:szCs w:val="16"/>
                    </w:rPr>
                    <w:t xml:space="preserve">Sati </w:t>
                  </w:r>
                </w:p>
              </w:tc>
            </w:tr>
            <w:tr w:rsidR="001C0A05" w:rsidRPr="00AB4376" w:rsidTr="00DE13CC">
              <w:trPr>
                <w:cantSplit/>
              </w:trPr>
              <w:tc>
                <w:tcPr>
                  <w:tcW w:w="422" w:type="dxa"/>
                  <w:tcBorders>
                    <w:left w:val="single" w:sz="18" w:space="0" w:color="auto"/>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1</w:t>
                  </w:r>
                </w:p>
              </w:tc>
              <w:tc>
                <w:tcPr>
                  <w:tcW w:w="2507"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Koncepti bankarstva. Izbor strategije upravljanja bankom.</w:t>
                  </w:r>
                </w:p>
              </w:tc>
              <w:tc>
                <w:tcPr>
                  <w:tcW w:w="402" w:type="dxa"/>
                  <w:tcBorders>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2</w:t>
                  </w:r>
                </w:p>
              </w:tc>
              <w:tc>
                <w:tcPr>
                  <w:tcW w:w="2561"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Informiranje o načinu rada.</w:t>
                  </w:r>
                </w:p>
              </w:tc>
              <w:tc>
                <w:tcPr>
                  <w:tcW w:w="401" w:type="dxa"/>
                  <w:tcBorders>
                    <w:right w:val="single" w:sz="18" w:space="0" w:color="auto"/>
                  </w:tcBorders>
                  <w:vAlign w:val="center"/>
                </w:tcPr>
                <w:p w:rsidR="001C0A05" w:rsidRPr="00AB4376" w:rsidRDefault="001C0A05" w:rsidP="00DE13CC">
                  <w:pPr>
                    <w:jc w:val="center"/>
                    <w:rPr>
                      <w:rFonts w:ascii="Arial" w:hAnsi="Arial" w:cs="Arial"/>
                      <w:sz w:val="16"/>
                      <w:szCs w:val="16"/>
                    </w:rPr>
                  </w:pPr>
                  <w:r w:rsidRPr="00AB4376">
                    <w:rPr>
                      <w:rFonts w:ascii="Arial" w:hAnsi="Arial" w:cs="Arial"/>
                      <w:sz w:val="16"/>
                      <w:szCs w:val="16"/>
                    </w:rPr>
                    <w:t>2</w:t>
                  </w:r>
                </w:p>
              </w:tc>
            </w:tr>
            <w:tr w:rsidR="001C0A05" w:rsidRPr="00AB4376" w:rsidTr="00DE13CC">
              <w:trPr>
                <w:cantSplit/>
              </w:trPr>
              <w:tc>
                <w:tcPr>
                  <w:tcW w:w="422" w:type="dxa"/>
                  <w:tcBorders>
                    <w:left w:val="single" w:sz="18" w:space="0" w:color="auto"/>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2</w:t>
                  </w:r>
                </w:p>
              </w:tc>
              <w:tc>
                <w:tcPr>
                  <w:tcW w:w="2507"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 xml:space="preserve">Bilanca banke. Račun dobiti i gubitka banke. Vrednovanje uspjeha banaka. </w:t>
                  </w:r>
                </w:p>
              </w:tc>
              <w:tc>
                <w:tcPr>
                  <w:tcW w:w="402" w:type="dxa"/>
                  <w:tcBorders>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2</w:t>
                  </w:r>
                </w:p>
              </w:tc>
              <w:tc>
                <w:tcPr>
                  <w:tcW w:w="2561"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 xml:space="preserve">Analiza bankovnog okruženja. Uloga regulacije u evoluciji bankovnog posredništva.  </w:t>
                  </w:r>
                </w:p>
              </w:tc>
              <w:tc>
                <w:tcPr>
                  <w:tcW w:w="401" w:type="dxa"/>
                  <w:tcBorders>
                    <w:right w:val="single" w:sz="18" w:space="0" w:color="auto"/>
                  </w:tcBorders>
                  <w:vAlign w:val="center"/>
                </w:tcPr>
                <w:p w:rsidR="001C0A05" w:rsidRPr="00AB4376" w:rsidRDefault="001C0A05" w:rsidP="00DE13CC">
                  <w:pPr>
                    <w:jc w:val="center"/>
                    <w:rPr>
                      <w:rFonts w:ascii="Arial" w:hAnsi="Arial" w:cs="Arial"/>
                      <w:sz w:val="16"/>
                      <w:szCs w:val="16"/>
                    </w:rPr>
                  </w:pPr>
                  <w:r w:rsidRPr="00AB4376">
                    <w:rPr>
                      <w:rFonts w:ascii="Arial" w:hAnsi="Arial" w:cs="Arial"/>
                      <w:sz w:val="16"/>
                      <w:szCs w:val="16"/>
                    </w:rPr>
                    <w:t>2</w:t>
                  </w:r>
                </w:p>
              </w:tc>
            </w:tr>
            <w:tr w:rsidR="001C0A05" w:rsidRPr="00AB4376" w:rsidTr="00DE13CC">
              <w:trPr>
                <w:cantSplit/>
              </w:trPr>
              <w:tc>
                <w:tcPr>
                  <w:tcW w:w="422" w:type="dxa"/>
                  <w:tcBorders>
                    <w:left w:val="single" w:sz="18" w:space="0" w:color="auto"/>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3</w:t>
                  </w:r>
                </w:p>
              </w:tc>
              <w:tc>
                <w:tcPr>
                  <w:tcW w:w="2507"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 xml:space="preserve">Osnove teorije financijskog posredništva. </w:t>
                  </w:r>
                </w:p>
              </w:tc>
              <w:tc>
                <w:tcPr>
                  <w:tcW w:w="402" w:type="dxa"/>
                  <w:tcBorders>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2</w:t>
                  </w:r>
                </w:p>
              </w:tc>
              <w:tc>
                <w:tcPr>
                  <w:tcW w:w="2561"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Primjeri izračuna pokazatelja profitabilnosti banke.</w:t>
                  </w:r>
                </w:p>
              </w:tc>
              <w:tc>
                <w:tcPr>
                  <w:tcW w:w="401" w:type="dxa"/>
                  <w:tcBorders>
                    <w:right w:val="single" w:sz="18" w:space="0" w:color="auto"/>
                  </w:tcBorders>
                  <w:vAlign w:val="center"/>
                </w:tcPr>
                <w:p w:rsidR="001C0A05" w:rsidRPr="00AB4376" w:rsidRDefault="001C0A05" w:rsidP="00DE13CC">
                  <w:pPr>
                    <w:jc w:val="center"/>
                    <w:rPr>
                      <w:rFonts w:ascii="Arial" w:hAnsi="Arial" w:cs="Arial"/>
                      <w:sz w:val="16"/>
                      <w:szCs w:val="16"/>
                    </w:rPr>
                  </w:pPr>
                  <w:r w:rsidRPr="00AB4376">
                    <w:rPr>
                      <w:rFonts w:ascii="Arial" w:hAnsi="Arial" w:cs="Arial"/>
                      <w:sz w:val="16"/>
                      <w:szCs w:val="16"/>
                    </w:rPr>
                    <w:t>2</w:t>
                  </w:r>
                </w:p>
              </w:tc>
            </w:tr>
            <w:tr w:rsidR="001C0A05" w:rsidRPr="00AB4376" w:rsidTr="00DE13CC">
              <w:trPr>
                <w:cantSplit/>
              </w:trPr>
              <w:tc>
                <w:tcPr>
                  <w:tcW w:w="422" w:type="dxa"/>
                  <w:tcBorders>
                    <w:left w:val="single" w:sz="18" w:space="0" w:color="auto"/>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4</w:t>
                  </w:r>
                </w:p>
              </w:tc>
              <w:tc>
                <w:tcPr>
                  <w:tcW w:w="2507"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Upravljanje kreditnim rizikom (I): identifikacija i mjerenje rizika.</w:t>
                  </w:r>
                </w:p>
              </w:tc>
              <w:tc>
                <w:tcPr>
                  <w:tcW w:w="402" w:type="dxa"/>
                  <w:tcBorders>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2</w:t>
                  </w:r>
                </w:p>
              </w:tc>
              <w:tc>
                <w:tcPr>
                  <w:tcW w:w="2561"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Vrste bankovnih rizika. Opća načela upravljanja bankovnim rizicima. Primjeri identifikacije rizika i mjera upravljanja rizicima.</w:t>
                  </w:r>
                </w:p>
              </w:tc>
              <w:tc>
                <w:tcPr>
                  <w:tcW w:w="401" w:type="dxa"/>
                  <w:tcBorders>
                    <w:right w:val="single" w:sz="18" w:space="0" w:color="auto"/>
                  </w:tcBorders>
                  <w:vAlign w:val="center"/>
                </w:tcPr>
                <w:p w:rsidR="001C0A05" w:rsidRPr="00AB4376" w:rsidRDefault="001C0A05" w:rsidP="00DE13CC">
                  <w:pPr>
                    <w:jc w:val="center"/>
                    <w:rPr>
                      <w:rFonts w:ascii="Arial" w:hAnsi="Arial" w:cs="Arial"/>
                      <w:sz w:val="16"/>
                      <w:szCs w:val="16"/>
                    </w:rPr>
                  </w:pPr>
                  <w:r w:rsidRPr="00AB4376">
                    <w:rPr>
                      <w:rFonts w:ascii="Arial" w:hAnsi="Arial" w:cs="Arial"/>
                      <w:sz w:val="16"/>
                      <w:szCs w:val="16"/>
                    </w:rPr>
                    <w:t>2</w:t>
                  </w:r>
                </w:p>
              </w:tc>
            </w:tr>
            <w:tr w:rsidR="001C0A05" w:rsidRPr="00AB4376" w:rsidTr="00DE13CC">
              <w:trPr>
                <w:cantSplit/>
              </w:trPr>
              <w:tc>
                <w:tcPr>
                  <w:tcW w:w="422" w:type="dxa"/>
                  <w:tcBorders>
                    <w:left w:val="single" w:sz="18" w:space="0" w:color="auto"/>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lastRenderedPageBreak/>
                    <w:t>5</w:t>
                  </w:r>
                </w:p>
              </w:tc>
              <w:tc>
                <w:tcPr>
                  <w:tcW w:w="2507"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Upravljanje kreditnim rizikom (II): strategije upravljanja, nadgledanje i kontrola.</w:t>
                  </w:r>
                </w:p>
              </w:tc>
              <w:tc>
                <w:tcPr>
                  <w:tcW w:w="402" w:type="dxa"/>
                  <w:tcBorders>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2</w:t>
                  </w:r>
                </w:p>
              </w:tc>
              <w:tc>
                <w:tcPr>
                  <w:tcW w:w="2561"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Odobravanje kredita poduzećima i stanovništvu. Odrednice cijene kredita. Primjeri izračuna cijene kredita i analize profitabilnosti komitenta.</w:t>
                  </w:r>
                </w:p>
              </w:tc>
              <w:tc>
                <w:tcPr>
                  <w:tcW w:w="401" w:type="dxa"/>
                  <w:tcBorders>
                    <w:right w:val="single" w:sz="18" w:space="0" w:color="auto"/>
                  </w:tcBorders>
                  <w:vAlign w:val="center"/>
                </w:tcPr>
                <w:p w:rsidR="001C0A05" w:rsidRPr="00AB4376" w:rsidRDefault="001C0A05" w:rsidP="00DE13CC">
                  <w:pPr>
                    <w:jc w:val="center"/>
                    <w:rPr>
                      <w:rFonts w:ascii="Arial" w:hAnsi="Arial" w:cs="Arial"/>
                      <w:sz w:val="16"/>
                      <w:szCs w:val="16"/>
                    </w:rPr>
                  </w:pPr>
                  <w:r w:rsidRPr="00AB4376">
                    <w:rPr>
                      <w:rFonts w:ascii="Arial" w:hAnsi="Arial" w:cs="Arial"/>
                      <w:sz w:val="16"/>
                      <w:szCs w:val="16"/>
                    </w:rPr>
                    <w:t>2</w:t>
                  </w:r>
                </w:p>
              </w:tc>
            </w:tr>
            <w:tr w:rsidR="001C0A05" w:rsidRPr="00AB4376" w:rsidTr="00DE13CC">
              <w:trPr>
                <w:cantSplit/>
              </w:trPr>
              <w:tc>
                <w:tcPr>
                  <w:tcW w:w="422" w:type="dxa"/>
                  <w:tcBorders>
                    <w:left w:val="single" w:sz="18" w:space="0" w:color="auto"/>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6</w:t>
                  </w:r>
                </w:p>
              </w:tc>
              <w:tc>
                <w:tcPr>
                  <w:tcW w:w="2507"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Sekuritizacija i prodaja kredita.</w:t>
                  </w:r>
                </w:p>
              </w:tc>
              <w:tc>
                <w:tcPr>
                  <w:tcW w:w="402" w:type="dxa"/>
                  <w:tcBorders>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2</w:t>
                  </w:r>
                </w:p>
              </w:tc>
              <w:tc>
                <w:tcPr>
                  <w:tcW w:w="2561"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Utvrđivanje kvalitete kredita i politike rezervacija. Primjeri restriktivnih odredbi.</w:t>
                  </w:r>
                </w:p>
              </w:tc>
              <w:tc>
                <w:tcPr>
                  <w:tcW w:w="401" w:type="dxa"/>
                  <w:tcBorders>
                    <w:right w:val="single" w:sz="18" w:space="0" w:color="auto"/>
                  </w:tcBorders>
                  <w:vAlign w:val="center"/>
                </w:tcPr>
                <w:p w:rsidR="001C0A05" w:rsidRPr="00AB4376" w:rsidRDefault="001C0A05" w:rsidP="00DE13CC">
                  <w:pPr>
                    <w:jc w:val="center"/>
                    <w:rPr>
                      <w:rFonts w:ascii="Arial" w:hAnsi="Arial" w:cs="Arial"/>
                      <w:sz w:val="16"/>
                      <w:szCs w:val="16"/>
                    </w:rPr>
                  </w:pPr>
                  <w:r w:rsidRPr="00AB4376">
                    <w:rPr>
                      <w:rFonts w:ascii="Arial" w:hAnsi="Arial" w:cs="Arial"/>
                      <w:sz w:val="16"/>
                      <w:szCs w:val="16"/>
                    </w:rPr>
                    <w:t>2</w:t>
                  </w:r>
                </w:p>
              </w:tc>
            </w:tr>
            <w:tr w:rsidR="001C0A05" w:rsidRPr="00AB4376" w:rsidTr="00DE13CC">
              <w:trPr>
                <w:cantSplit/>
              </w:trPr>
              <w:tc>
                <w:tcPr>
                  <w:tcW w:w="422" w:type="dxa"/>
                  <w:tcBorders>
                    <w:left w:val="single" w:sz="18" w:space="0" w:color="auto"/>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7</w:t>
                  </w:r>
                </w:p>
              </w:tc>
              <w:tc>
                <w:tcPr>
                  <w:tcW w:w="2507"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Upravljanje depozitima.</w:t>
                  </w:r>
                </w:p>
              </w:tc>
              <w:tc>
                <w:tcPr>
                  <w:tcW w:w="402" w:type="dxa"/>
                  <w:tcBorders>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2</w:t>
                  </w:r>
                </w:p>
              </w:tc>
              <w:tc>
                <w:tcPr>
                  <w:tcW w:w="2561"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Kreditne izvedenice.</w:t>
                  </w:r>
                </w:p>
              </w:tc>
              <w:tc>
                <w:tcPr>
                  <w:tcW w:w="401" w:type="dxa"/>
                  <w:tcBorders>
                    <w:right w:val="single" w:sz="18" w:space="0" w:color="auto"/>
                  </w:tcBorders>
                  <w:vAlign w:val="center"/>
                </w:tcPr>
                <w:p w:rsidR="001C0A05" w:rsidRPr="00AB4376" w:rsidRDefault="001C0A05" w:rsidP="00DE13CC">
                  <w:pPr>
                    <w:jc w:val="center"/>
                    <w:rPr>
                      <w:rFonts w:ascii="Arial" w:hAnsi="Arial" w:cs="Arial"/>
                      <w:sz w:val="16"/>
                      <w:szCs w:val="16"/>
                    </w:rPr>
                  </w:pPr>
                  <w:r w:rsidRPr="00AB4376">
                    <w:rPr>
                      <w:rFonts w:ascii="Arial" w:hAnsi="Arial" w:cs="Arial"/>
                      <w:sz w:val="16"/>
                      <w:szCs w:val="16"/>
                    </w:rPr>
                    <w:t>2</w:t>
                  </w:r>
                </w:p>
              </w:tc>
            </w:tr>
            <w:tr w:rsidR="001C0A05" w:rsidRPr="00AB4376" w:rsidTr="00DE13CC">
              <w:trPr>
                <w:cantSplit/>
              </w:trPr>
              <w:tc>
                <w:tcPr>
                  <w:tcW w:w="422" w:type="dxa"/>
                  <w:tcBorders>
                    <w:left w:val="single" w:sz="18" w:space="0" w:color="auto"/>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8</w:t>
                  </w:r>
                </w:p>
              </w:tc>
              <w:tc>
                <w:tcPr>
                  <w:tcW w:w="2507"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Upravljanje nedepozitnim izvorima.</w:t>
                  </w:r>
                </w:p>
              </w:tc>
              <w:tc>
                <w:tcPr>
                  <w:tcW w:w="402" w:type="dxa"/>
                  <w:tcBorders>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2</w:t>
                  </w:r>
                </w:p>
              </w:tc>
              <w:tc>
                <w:tcPr>
                  <w:tcW w:w="2561"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Osiguranje depozita.</w:t>
                  </w:r>
                </w:p>
              </w:tc>
              <w:tc>
                <w:tcPr>
                  <w:tcW w:w="401" w:type="dxa"/>
                  <w:tcBorders>
                    <w:right w:val="single" w:sz="18" w:space="0" w:color="auto"/>
                  </w:tcBorders>
                  <w:vAlign w:val="center"/>
                </w:tcPr>
                <w:p w:rsidR="001C0A05" w:rsidRPr="00AB4376" w:rsidRDefault="001C0A05" w:rsidP="00DE13CC">
                  <w:pPr>
                    <w:jc w:val="center"/>
                    <w:rPr>
                      <w:rFonts w:ascii="Arial" w:hAnsi="Arial" w:cs="Arial"/>
                      <w:sz w:val="16"/>
                      <w:szCs w:val="16"/>
                    </w:rPr>
                  </w:pPr>
                  <w:r w:rsidRPr="00AB4376">
                    <w:rPr>
                      <w:rFonts w:ascii="Arial" w:hAnsi="Arial" w:cs="Arial"/>
                      <w:sz w:val="16"/>
                      <w:szCs w:val="16"/>
                    </w:rPr>
                    <w:t>2</w:t>
                  </w:r>
                </w:p>
              </w:tc>
            </w:tr>
            <w:tr w:rsidR="001C0A05" w:rsidRPr="00AB4376" w:rsidTr="00DE13CC">
              <w:trPr>
                <w:cantSplit/>
              </w:trPr>
              <w:tc>
                <w:tcPr>
                  <w:tcW w:w="422" w:type="dxa"/>
                  <w:tcBorders>
                    <w:left w:val="single" w:sz="18" w:space="0" w:color="auto"/>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9</w:t>
                  </w:r>
                </w:p>
              </w:tc>
              <w:tc>
                <w:tcPr>
                  <w:tcW w:w="2507"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Upravljanje rizikom kamatnih stopa. Vrste kamatnih stopa.</w:t>
                  </w:r>
                </w:p>
              </w:tc>
              <w:tc>
                <w:tcPr>
                  <w:tcW w:w="402" w:type="dxa"/>
                  <w:tcBorders>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2</w:t>
                  </w:r>
                </w:p>
              </w:tc>
              <w:tc>
                <w:tcPr>
                  <w:tcW w:w="2561"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Primjer izračuna troškova financiranja banke.</w:t>
                  </w:r>
                </w:p>
              </w:tc>
              <w:tc>
                <w:tcPr>
                  <w:tcW w:w="401" w:type="dxa"/>
                  <w:tcBorders>
                    <w:right w:val="single" w:sz="18" w:space="0" w:color="auto"/>
                  </w:tcBorders>
                  <w:vAlign w:val="center"/>
                </w:tcPr>
                <w:p w:rsidR="001C0A05" w:rsidRPr="00AB4376" w:rsidRDefault="001C0A05" w:rsidP="00DE13CC">
                  <w:pPr>
                    <w:jc w:val="center"/>
                    <w:rPr>
                      <w:rFonts w:ascii="Arial" w:hAnsi="Arial" w:cs="Arial"/>
                      <w:sz w:val="16"/>
                      <w:szCs w:val="16"/>
                    </w:rPr>
                  </w:pPr>
                  <w:r w:rsidRPr="00AB4376">
                    <w:rPr>
                      <w:rFonts w:ascii="Arial" w:hAnsi="Arial" w:cs="Arial"/>
                      <w:sz w:val="16"/>
                      <w:szCs w:val="16"/>
                    </w:rPr>
                    <w:t>2</w:t>
                  </w:r>
                </w:p>
              </w:tc>
            </w:tr>
            <w:tr w:rsidR="001C0A05" w:rsidRPr="00AB4376" w:rsidTr="00DE13CC">
              <w:trPr>
                <w:cantSplit/>
              </w:trPr>
              <w:tc>
                <w:tcPr>
                  <w:tcW w:w="422" w:type="dxa"/>
                  <w:tcBorders>
                    <w:left w:val="single" w:sz="18" w:space="0" w:color="auto"/>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10</w:t>
                  </w:r>
                </w:p>
              </w:tc>
              <w:tc>
                <w:tcPr>
                  <w:tcW w:w="2507"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Upravljanje likvidnošću banke.</w:t>
                  </w:r>
                </w:p>
              </w:tc>
              <w:tc>
                <w:tcPr>
                  <w:tcW w:w="402" w:type="dxa"/>
                  <w:tcBorders>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2</w:t>
                  </w:r>
                </w:p>
              </w:tc>
              <w:tc>
                <w:tcPr>
                  <w:tcW w:w="2561"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 xml:space="preserve">Primjeri izračuna izloženosti kamatnom riziku i strategija upravljanja. </w:t>
                  </w:r>
                </w:p>
              </w:tc>
              <w:tc>
                <w:tcPr>
                  <w:tcW w:w="401" w:type="dxa"/>
                  <w:tcBorders>
                    <w:right w:val="single" w:sz="18" w:space="0" w:color="auto"/>
                  </w:tcBorders>
                  <w:vAlign w:val="center"/>
                </w:tcPr>
                <w:p w:rsidR="001C0A05" w:rsidRPr="00AB4376" w:rsidRDefault="001C0A05" w:rsidP="00DE13CC">
                  <w:pPr>
                    <w:jc w:val="center"/>
                    <w:rPr>
                      <w:rFonts w:ascii="Arial" w:hAnsi="Arial" w:cs="Arial"/>
                      <w:sz w:val="16"/>
                      <w:szCs w:val="16"/>
                    </w:rPr>
                  </w:pPr>
                  <w:r w:rsidRPr="00AB4376">
                    <w:rPr>
                      <w:rFonts w:ascii="Arial" w:hAnsi="Arial" w:cs="Arial"/>
                      <w:sz w:val="16"/>
                      <w:szCs w:val="16"/>
                    </w:rPr>
                    <w:t>2</w:t>
                  </w:r>
                </w:p>
              </w:tc>
            </w:tr>
            <w:tr w:rsidR="001C0A05" w:rsidRPr="00AB4376" w:rsidTr="00DE13CC">
              <w:trPr>
                <w:cantSplit/>
              </w:trPr>
              <w:tc>
                <w:tcPr>
                  <w:tcW w:w="422" w:type="dxa"/>
                  <w:tcBorders>
                    <w:left w:val="single" w:sz="18" w:space="0" w:color="auto"/>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11</w:t>
                  </w:r>
                </w:p>
              </w:tc>
              <w:tc>
                <w:tcPr>
                  <w:tcW w:w="2507"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Valutni rizik. Operativni rizici banaka.</w:t>
                  </w:r>
                </w:p>
              </w:tc>
              <w:tc>
                <w:tcPr>
                  <w:tcW w:w="402" w:type="dxa"/>
                  <w:tcBorders>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2</w:t>
                  </w:r>
                </w:p>
              </w:tc>
              <w:tc>
                <w:tcPr>
                  <w:tcW w:w="2561"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Primjeri mjerenja likvidnosti i tehnika upravljanja.</w:t>
                  </w:r>
                </w:p>
              </w:tc>
              <w:tc>
                <w:tcPr>
                  <w:tcW w:w="401" w:type="dxa"/>
                  <w:tcBorders>
                    <w:right w:val="single" w:sz="18" w:space="0" w:color="auto"/>
                  </w:tcBorders>
                  <w:vAlign w:val="center"/>
                </w:tcPr>
                <w:p w:rsidR="001C0A05" w:rsidRPr="00AB4376" w:rsidRDefault="001C0A05" w:rsidP="00DE13CC">
                  <w:pPr>
                    <w:jc w:val="center"/>
                    <w:rPr>
                      <w:rFonts w:ascii="Arial" w:hAnsi="Arial" w:cs="Arial"/>
                      <w:sz w:val="16"/>
                      <w:szCs w:val="16"/>
                    </w:rPr>
                  </w:pPr>
                  <w:r w:rsidRPr="00AB4376">
                    <w:rPr>
                      <w:rFonts w:ascii="Arial" w:hAnsi="Arial" w:cs="Arial"/>
                      <w:sz w:val="16"/>
                      <w:szCs w:val="16"/>
                    </w:rPr>
                    <w:t>2</w:t>
                  </w:r>
                </w:p>
              </w:tc>
            </w:tr>
            <w:tr w:rsidR="001C0A05" w:rsidRPr="00AB4376" w:rsidTr="00DE13CC">
              <w:trPr>
                <w:cantSplit/>
              </w:trPr>
              <w:tc>
                <w:tcPr>
                  <w:tcW w:w="422" w:type="dxa"/>
                  <w:tcBorders>
                    <w:left w:val="single" w:sz="18" w:space="0" w:color="auto"/>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12</w:t>
                  </w:r>
                </w:p>
              </w:tc>
              <w:tc>
                <w:tcPr>
                  <w:tcW w:w="2507"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Regulacija bankovnog poslovanja kroz kapitalne zahtjeve.</w:t>
                  </w:r>
                </w:p>
              </w:tc>
              <w:tc>
                <w:tcPr>
                  <w:tcW w:w="402" w:type="dxa"/>
                  <w:tcBorders>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2</w:t>
                  </w:r>
                </w:p>
              </w:tc>
              <w:tc>
                <w:tcPr>
                  <w:tcW w:w="2561"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Načini prilagodbe banaka standardima adekvatnosti kapitala.</w:t>
                  </w:r>
                </w:p>
              </w:tc>
              <w:tc>
                <w:tcPr>
                  <w:tcW w:w="401" w:type="dxa"/>
                  <w:tcBorders>
                    <w:right w:val="single" w:sz="18" w:space="0" w:color="auto"/>
                  </w:tcBorders>
                  <w:vAlign w:val="center"/>
                </w:tcPr>
                <w:p w:rsidR="001C0A05" w:rsidRPr="00AB4376" w:rsidRDefault="001C0A05" w:rsidP="00DE13CC">
                  <w:pPr>
                    <w:jc w:val="center"/>
                    <w:rPr>
                      <w:rFonts w:ascii="Arial" w:hAnsi="Arial" w:cs="Arial"/>
                      <w:sz w:val="16"/>
                      <w:szCs w:val="16"/>
                    </w:rPr>
                  </w:pPr>
                  <w:r w:rsidRPr="00AB4376">
                    <w:rPr>
                      <w:rFonts w:ascii="Arial" w:hAnsi="Arial" w:cs="Arial"/>
                      <w:sz w:val="16"/>
                      <w:szCs w:val="16"/>
                    </w:rPr>
                    <w:t>2</w:t>
                  </w:r>
                </w:p>
              </w:tc>
            </w:tr>
            <w:tr w:rsidR="001C0A05" w:rsidRPr="00AB4376" w:rsidTr="00DE13CC">
              <w:trPr>
                <w:cantSplit/>
              </w:trPr>
              <w:tc>
                <w:tcPr>
                  <w:tcW w:w="422" w:type="dxa"/>
                  <w:tcBorders>
                    <w:left w:val="single" w:sz="18" w:space="0" w:color="auto"/>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13</w:t>
                  </w:r>
                </w:p>
              </w:tc>
              <w:tc>
                <w:tcPr>
                  <w:tcW w:w="2507"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Bankarske krize. Upravljanje stabilnošću bankarskog sektora.</w:t>
                  </w:r>
                </w:p>
              </w:tc>
              <w:tc>
                <w:tcPr>
                  <w:tcW w:w="402" w:type="dxa"/>
                  <w:tcBorders>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2</w:t>
                  </w:r>
                </w:p>
              </w:tc>
              <w:tc>
                <w:tcPr>
                  <w:tcW w:w="2561"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Primjeri kriza u RH, EU i SAD.</w:t>
                  </w:r>
                </w:p>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Kriza hipotekarnih kredita u SAD-u.</w:t>
                  </w:r>
                </w:p>
              </w:tc>
              <w:tc>
                <w:tcPr>
                  <w:tcW w:w="401" w:type="dxa"/>
                  <w:tcBorders>
                    <w:right w:val="single" w:sz="18" w:space="0" w:color="auto"/>
                  </w:tcBorders>
                  <w:vAlign w:val="center"/>
                </w:tcPr>
                <w:p w:rsidR="001C0A05" w:rsidRPr="00AB4376" w:rsidRDefault="001C0A05" w:rsidP="00DE13CC">
                  <w:pPr>
                    <w:jc w:val="center"/>
                    <w:rPr>
                      <w:rFonts w:ascii="Arial" w:hAnsi="Arial" w:cs="Arial"/>
                      <w:sz w:val="16"/>
                      <w:szCs w:val="16"/>
                    </w:rPr>
                  </w:pPr>
                  <w:r w:rsidRPr="00AB4376">
                    <w:rPr>
                      <w:rFonts w:ascii="Arial" w:hAnsi="Arial" w:cs="Arial"/>
                      <w:sz w:val="16"/>
                      <w:szCs w:val="16"/>
                    </w:rPr>
                    <w:t>2</w:t>
                  </w:r>
                </w:p>
              </w:tc>
            </w:tr>
            <w:tr w:rsidR="001C0A05" w:rsidRPr="00AB4376" w:rsidTr="00DE13CC">
              <w:trPr>
                <w:cantSplit/>
              </w:trPr>
              <w:tc>
                <w:tcPr>
                  <w:tcW w:w="422" w:type="dxa"/>
                  <w:tcBorders>
                    <w:left w:val="single" w:sz="18" w:space="0" w:color="auto"/>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14</w:t>
                  </w:r>
                </w:p>
              </w:tc>
              <w:tc>
                <w:tcPr>
                  <w:tcW w:w="2507"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Konkurencija u bankarstvu.</w:t>
                  </w:r>
                </w:p>
              </w:tc>
              <w:tc>
                <w:tcPr>
                  <w:tcW w:w="402" w:type="dxa"/>
                  <w:tcBorders>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2</w:t>
                  </w:r>
                </w:p>
              </w:tc>
              <w:tc>
                <w:tcPr>
                  <w:tcW w:w="2561"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lang w:val="it-IT"/>
                    </w:rPr>
                  </w:pPr>
                  <w:r w:rsidRPr="00AB4376">
                    <w:rPr>
                      <w:rFonts w:ascii="Arial" w:hAnsi="Arial" w:cs="Arial"/>
                      <w:sz w:val="20"/>
                      <w:szCs w:val="20"/>
                    </w:rPr>
                    <w:t>Posebnosti malih banaka: primjer RH. Determinante uspješnosti banaka: primjer RH.</w:t>
                  </w:r>
                </w:p>
              </w:tc>
              <w:tc>
                <w:tcPr>
                  <w:tcW w:w="401" w:type="dxa"/>
                  <w:tcBorders>
                    <w:right w:val="single" w:sz="18" w:space="0" w:color="auto"/>
                  </w:tcBorders>
                  <w:vAlign w:val="center"/>
                </w:tcPr>
                <w:p w:rsidR="001C0A05" w:rsidRPr="00AB4376" w:rsidRDefault="001C0A05" w:rsidP="00DE13CC">
                  <w:pPr>
                    <w:jc w:val="center"/>
                    <w:rPr>
                      <w:rFonts w:ascii="Arial" w:hAnsi="Arial" w:cs="Arial"/>
                      <w:sz w:val="16"/>
                      <w:szCs w:val="16"/>
                    </w:rPr>
                  </w:pPr>
                  <w:r w:rsidRPr="00AB4376">
                    <w:rPr>
                      <w:rFonts w:ascii="Arial" w:hAnsi="Arial" w:cs="Arial"/>
                      <w:sz w:val="16"/>
                      <w:szCs w:val="16"/>
                    </w:rPr>
                    <w:t>2</w:t>
                  </w:r>
                </w:p>
              </w:tc>
            </w:tr>
            <w:tr w:rsidR="001C0A05" w:rsidRPr="00AB4376" w:rsidTr="00DE13CC">
              <w:trPr>
                <w:cantSplit/>
              </w:trPr>
              <w:tc>
                <w:tcPr>
                  <w:tcW w:w="422" w:type="dxa"/>
                  <w:tcBorders>
                    <w:left w:val="single" w:sz="18" w:space="0" w:color="auto"/>
                    <w:bottom w:val="single" w:sz="18" w:space="0" w:color="auto"/>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15</w:t>
                  </w:r>
                </w:p>
              </w:tc>
              <w:tc>
                <w:tcPr>
                  <w:tcW w:w="2507" w:type="dxa"/>
                  <w:tcBorders>
                    <w:left w:val="single" w:sz="18" w:space="0" w:color="auto"/>
                    <w:bottom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Regulacija i supervizija bankarskog sektora – eksterni nadzor. Pravila i procedure u bankama – interni nadzor.</w:t>
                  </w:r>
                </w:p>
              </w:tc>
              <w:tc>
                <w:tcPr>
                  <w:tcW w:w="402" w:type="dxa"/>
                  <w:tcBorders>
                    <w:bottom w:val="single" w:sz="18" w:space="0" w:color="auto"/>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2</w:t>
                  </w:r>
                </w:p>
              </w:tc>
              <w:tc>
                <w:tcPr>
                  <w:tcW w:w="2561" w:type="dxa"/>
                  <w:tcBorders>
                    <w:left w:val="single" w:sz="18" w:space="0" w:color="auto"/>
                    <w:bottom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Tržišno discipliniranje banaka – zahtjevi za javnom objavom.</w:t>
                  </w:r>
                </w:p>
              </w:tc>
              <w:tc>
                <w:tcPr>
                  <w:tcW w:w="401" w:type="dxa"/>
                  <w:tcBorders>
                    <w:bottom w:val="single" w:sz="18" w:space="0" w:color="auto"/>
                    <w:right w:val="single" w:sz="18" w:space="0" w:color="auto"/>
                  </w:tcBorders>
                  <w:vAlign w:val="center"/>
                </w:tcPr>
                <w:p w:rsidR="001C0A05" w:rsidRPr="00AB4376" w:rsidRDefault="001C0A05" w:rsidP="00DE13CC">
                  <w:pPr>
                    <w:jc w:val="center"/>
                    <w:rPr>
                      <w:rFonts w:ascii="Arial" w:hAnsi="Arial" w:cs="Arial"/>
                      <w:sz w:val="16"/>
                      <w:szCs w:val="16"/>
                    </w:rPr>
                  </w:pPr>
                  <w:r w:rsidRPr="00AB4376">
                    <w:rPr>
                      <w:rFonts w:ascii="Arial" w:hAnsi="Arial" w:cs="Arial"/>
                      <w:sz w:val="16"/>
                      <w:szCs w:val="16"/>
                    </w:rPr>
                    <w:t>2</w:t>
                  </w:r>
                </w:p>
              </w:tc>
            </w:tr>
          </w:tbl>
          <w:p w:rsidR="001C0A05" w:rsidRPr="00AB4376" w:rsidRDefault="001C0A05" w:rsidP="00DE13CC">
            <w:pPr>
              <w:tabs>
                <w:tab w:val="left" w:pos="2820"/>
              </w:tabs>
              <w:spacing w:after="0"/>
              <w:rPr>
                <w:rFonts w:ascii="Arial" w:hAnsi="Arial" w:cs="Arial"/>
                <w:sz w:val="20"/>
                <w:szCs w:val="20"/>
              </w:rPr>
            </w:pPr>
          </w:p>
        </w:tc>
      </w:tr>
      <w:tr w:rsidR="001C0A05" w:rsidRPr="00AB4376" w:rsidTr="00DE13CC">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1C0A05" w:rsidRPr="00AB4376" w:rsidRDefault="001C0A05" w:rsidP="00DE13CC">
            <w:pPr>
              <w:tabs>
                <w:tab w:val="left" w:pos="2820"/>
              </w:tabs>
              <w:spacing w:after="0" w:line="240" w:lineRule="auto"/>
              <w:rPr>
                <w:rFonts w:ascii="Arial" w:hAnsi="Arial" w:cs="Arial"/>
                <w:sz w:val="20"/>
                <w:szCs w:val="20"/>
              </w:rPr>
            </w:pPr>
            <w:r w:rsidRPr="00AB4376">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rsidR="001C0A05" w:rsidRPr="00AB4376" w:rsidRDefault="001C0A05" w:rsidP="00DE13CC">
            <w:pPr>
              <w:pStyle w:val="FieldText"/>
              <w:rPr>
                <w:rFonts w:ascii="Arial" w:hAnsi="Arial" w:cs="Arial"/>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w:t>
            </w:r>
            <w:r w:rsidRPr="00AB4376">
              <w:rPr>
                <w:rFonts w:ascii="Arial" w:hAnsi="Arial" w:cs="Arial"/>
                <w:sz w:val="20"/>
                <w:szCs w:val="20"/>
                <w:lang w:val="hr-HR"/>
              </w:rPr>
              <w:t>predavanja</w:t>
            </w:r>
          </w:p>
          <w:p w:rsidR="001C0A05" w:rsidRPr="00AB4376" w:rsidRDefault="001C0A05" w:rsidP="00DE13CC">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w:t>
            </w:r>
            <w:r w:rsidRPr="00F53080">
              <w:rPr>
                <w:rFonts w:ascii="Arial" w:hAnsi="Arial" w:cs="Arial"/>
                <w:sz w:val="20"/>
                <w:szCs w:val="20"/>
                <w:lang w:val="hr-HR"/>
              </w:rPr>
              <w:t>seminari i radionice</w:t>
            </w:r>
            <w:r w:rsidRPr="00AB4376">
              <w:rPr>
                <w:rFonts w:ascii="Arial" w:hAnsi="Arial" w:cs="Arial"/>
                <w:b w:val="0"/>
                <w:sz w:val="20"/>
                <w:szCs w:val="20"/>
                <w:lang w:val="hr-HR"/>
              </w:rPr>
              <w:t xml:space="preserve">  </w:t>
            </w:r>
          </w:p>
          <w:p w:rsidR="001C0A05" w:rsidRPr="00AB4376" w:rsidRDefault="001C0A05" w:rsidP="00DE13CC">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w:t>
            </w:r>
            <w:r w:rsidRPr="00AB4376">
              <w:rPr>
                <w:rFonts w:ascii="Arial" w:hAnsi="Arial" w:cs="Arial"/>
                <w:sz w:val="20"/>
                <w:szCs w:val="20"/>
                <w:lang w:val="hr-HR"/>
              </w:rPr>
              <w:t xml:space="preserve">vježbe </w:t>
            </w:r>
            <w:r w:rsidRPr="00AB4376">
              <w:rPr>
                <w:rFonts w:ascii="Arial" w:hAnsi="Arial" w:cs="Arial"/>
                <w:b w:val="0"/>
                <w:sz w:val="20"/>
                <w:szCs w:val="20"/>
                <w:lang w:val="hr-HR"/>
              </w:rPr>
              <w:t xml:space="preserve"> </w:t>
            </w:r>
          </w:p>
          <w:p w:rsidR="001C0A05" w:rsidRPr="00AB4376" w:rsidRDefault="001C0A05" w:rsidP="00DE13CC">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w:t>
            </w:r>
            <w:r w:rsidRPr="00AB4376">
              <w:rPr>
                <w:rFonts w:ascii="Arial" w:hAnsi="Arial" w:cs="Arial"/>
                <w:b w:val="0"/>
                <w:i/>
                <w:sz w:val="20"/>
                <w:szCs w:val="20"/>
                <w:lang w:val="hr-HR"/>
              </w:rPr>
              <w:t>on line</w:t>
            </w:r>
            <w:r w:rsidRPr="00AB4376">
              <w:rPr>
                <w:rFonts w:ascii="Arial" w:hAnsi="Arial" w:cs="Arial"/>
                <w:b w:val="0"/>
                <w:sz w:val="20"/>
                <w:szCs w:val="20"/>
                <w:lang w:val="hr-HR"/>
              </w:rPr>
              <w:t xml:space="preserve"> u cijelosti</w:t>
            </w:r>
          </w:p>
          <w:p w:rsidR="001C0A05" w:rsidRPr="00AB4376" w:rsidRDefault="001C0A05" w:rsidP="00DE13CC">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mješovito e-učenje</w:t>
            </w:r>
          </w:p>
          <w:p w:rsidR="001C0A05" w:rsidRPr="00AB4376" w:rsidRDefault="001C0A05" w:rsidP="00DE13CC">
            <w:pPr>
              <w:tabs>
                <w:tab w:val="left" w:pos="2820"/>
              </w:tabs>
              <w:spacing w:after="0"/>
              <w:rPr>
                <w:rFonts w:ascii="Arial" w:hAnsi="Arial" w:cs="Arial"/>
                <w:sz w:val="20"/>
                <w:szCs w:val="20"/>
              </w:rPr>
            </w:pPr>
            <w:r w:rsidRPr="00AB4376">
              <w:rPr>
                <w:rFonts w:ascii="MS Gothic" w:eastAsia="MS Gothic" w:hAnsi="MS Gothic" w:cs="MS Gothic" w:hint="eastAsia"/>
                <w:sz w:val="20"/>
                <w:szCs w:val="20"/>
              </w:rPr>
              <w:t>☐</w:t>
            </w:r>
            <w:r w:rsidRPr="00AB4376">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1C0A05" w:rsidRPr="00AB4376" w:rsidRDefault="001C0A05" w:rsidP="00DE13CC">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samostalni  zadaci  </w:t>
            </w:r>
          </w:p>
          <w:p w:rsidR="001C0A05" w:rsidRPr="00AB4376" w:rsidRDefault="001C0A05" w:rsidP="00DE13CC">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multimedija </w:t>
            </w:r>
          </w:p>
          <w:p w:rsidR="001C0A05" w:rsidRPr="00AB4376" w:rsidRDefault="001C0A05" w:rsidP="00DE13CC">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laboratorij</w:t>
            </w:r>
          </w:p>
          <w:p w:rsidR="001C0A05" w:rsidRPr="00AB4376" w:rsidRDefault="001C0A05" w:rsidP="00DE13CC">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mentorski rad</w:t>
            </w:r>
          </w:p>
          <w:p w:rsidR="001C0A05" w:rsidRPr="00AB4376" w:rsidRDefault="001C0A05" w:rsidP="00DE13CC">
            <w:pPr>
              <w:tabs>
                <w:tab w:val="left" w:pos="2820"/>
              </w:tabs>
              <w:spacing w:after="0"/>
              <w:rPr>
                <w:rFonts w:ascii="Arial" w:hAnsi="Arial" w:cs="Arial"/>
                <w:sz w:val="20"/>
                <w:szCs w:val="20"/>
              </w:rPr>
            </w:pPr>
            <w:r w:rsidRPr="00AB4376">
              <w:rPr>
                <w:rFonts w:ascii="MS Gothic" w:eastAsia="MS Gothic" w:hAnsi="MS Gothic" w:cs="MS Gothic" w:hint="eastAsia"/>
                <w:sz w:val="20"/>
                <w:szCs w:val="20"/>
              </w:rPr>
              <w:t>☐</w:t>
            </w:r>
            <w:r w:rsidRPr="00AB4376">
              <w:rPr>
                <w:rFonts w:ascii="Arial" w:hAnsi="Arial" w:cs="Arial"/>
                <w:sz w:val="20"/>
                <w:szCs w:val="20"/>
              </w:rPr>
              <w:t xml:space="preserve"> </w:t>
            </w:r>
            <w:r w:rsidR="00AF7F27" w:rsidRPr="00AB4376">
              <w:rPr>
                <w:rFonts w:ascii="Arial" w:hAnsi="Arial" w:cs="Arial"/>
                <w:sz w:val="20"/>
                <w:szCs w:val="20"/>
              </w:rPr>
              <w:fldChar w:fldCharType="begin">
                <w:ffData>
                  <w:name w:val="Text1"/>
                  <w:enabled/>
                  <w:calcOnExit w:val="0"/>
                  <w:textInput/>
                </w:ffData>
              </w:fldChar>
            </w:r>
            <w:r w:rsidRPr="00AB4376">
              <w:rPr>
                <w:rFonts w:ascii="Arial" w:hAnsi="Arial" w:cs="Arial"/>
                <w:sz w:val="20"/>
                <w:szCs w:val="20"/>
              </w:rPr>
              <w:instrText xml:space="preserve"> FORMTEXT </w:instrText>
            </w:r>
            <w:r w:rsidR="00AF7F27" w:rsidRPr="00AB4376">
              <w:rPr>
                <w:rFonts w:ascii="Arial" w:hAnsi="Arial" w:cs="Arial"/>
                <w:sz w:val="20"/>
                <w:szCs w:val="20"/>
              </w:rPr>
            </w:r>
            <w:r w:rsidR="00AF7F27" w:rsidRPr="00AB4376">
              <w:rPr>
                <w:rFonts w:ascii="Arial" w:hAnsi="Arial" w:cs="Arial"/>
                <w:sz w:val="20"/>
                <w:szCs w:val="20"/>
              </w:rPr>
              <w:fldChar w:fldCharType="separate"/>
            </w:r>
            <w:r w:rsidRPr="00AB4376">
              <w:rPr>
                <w:rFonts w:ascii="Arial" w:hAnsi="Arial" w:cs="Arial"/>
                <w:sz w:val="20"/>
                <w:szCs w:val="20"/>
              </w:rPr>
              <w:t> </w:t>
            </w:r>
            <w:r w:rsidRPr="00AB4376">
              <w:rPr>
                <w:rFonts w:ascii="Arial" w:hAnsi="Arial" w:cs="Arial"/>
                <w:sz w:val="20"/>
                <w:szCs w:val="20"/>
              </w:rPr>
              <w:t> </w:t>
            </w:r>
            <w:r w:rsidRPr="00AB4376">
              <w:rPr>
                <w:rFonts w:ascii="Arial" w:hAnsi="Arial" w:cs="Arial"/>
                <w:sz w:val="20"/>
                <w:szCs w:val="20"/>
              </w:rPr>
              <w:t> </w:t>
            </w:r>
            <w:r w:rsidRPr="00AB4376">
              <w:rPr>
                <w:rFonts w:ascii="Arial" w:hAnsi="Arial" w:cs="Arial"/>
                <w:sz w:val="20"/>
                <w:szCs w:val="20"/>
              </w:rPr>
              <w:t> </w:t>
            </w:r>
            <w:r w:rsidRPr="00AB4376">
              <w:rPr>
                <w:rFonts w:ascii="Arial" w:hAnsi="Arial" w:cs="Arial"/>
                <w:sz w:val="20"/>
                <w:szCs w:val="20"/>
              </w:rPr>
              <w:t> </w:t>
            </w:r>
            <w:r w:rsidR="00AF7F27" w:rsidRPr="00AB4376">
              <w:rPr>
                <w:rFonts w:ascii="Arial" w:hAnsi="Arial" w:cs="Arial"/>
                <w:sz w:val="20"/>
                <w:szCs w:val="20"/>
              </w:rPr>
              <w:fldChar w:fldCharType="end"/>
            </w:r>
            <w:r w:rsidRPr="00AB4376">
              <w:rPr>
                <w:rFonts w:ascii="Arial" w:hAnsi="Arial" w:cs="Arial"/>
                <w:sz w:val="20"/>
                <w:szCs w:val="20"/>
              </w:rPr>
              <w:t xml:space="preserve"> (ostalo upisati)</w:t>
            </w:r>
            <w:r w:rsidRPr="00AB4376">
              <w:rPr>
                <w:rFonts w:ascii="Arial" w:hAnsi="Arial" w:cs="Arial"/>
                <w:b/>
                <w:sz w:val="20"/>
                <w:szCs w:val="20"/>
              </w:rPr>
              <w:t xml:space="preserve"> </w:t>
            </w:r>
            <w:r w:rsidRPr="00AB4376">
              <w:rPr>
                <w:rFonts w:ascii="Arial" w:hAnsi="Arial" w:cs="Arial"/>
                <w:b/>
                <w:sz w:val="20"/>
                <w:szCs w:val="20"/>
                <w:bdr w:val="single" w:sz="12" w:space="0" w:color="auto"/>
              </w:rPr>
              <w:t xml:space="preserve"> </w:t>
            </w:r>
          </w:p>
        </w:tc>
      </w:tr>
      <w:tr w:rsidR="001C0A05" w:rsidRPr="00AB4376" w:rsidTr="00DE13CC">
        <w:trPr>
          <w:trHeight w:val="577"/>
        </w:trPr>
        <w:tc>
          <w:tcPr>
            <w:tcW w:w="1912" w:type="dxa"/>
            <w:gridSpan w:val="2"/>
            <w:vMerge/>
            <w:tcBorders>
              <w:left w:val="single" w:sz="12" w:space="0" w:color="auto"/>
            </w:tcBorders>
            <w:shd w:val="clear" w:color="auto" w:fill="CCFFFF"/>
            <w:tcMar>
              <w:left w:w="57" w:type="dxa"/>
              <w:right w:w="57" w:type="dxa"/>
            </w:tcMar>
            <w:vAlign w:val="center"/>
          </w:tcPr>
          <w:p w:rsidR="001C0A05" w:rsidRPr="00AB4376" w:rsidRDefault="001C0A05" w:rsidP="00DE13CC">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rsidR="001C0A05" w:rsidRPr="00AB4376" w:rsidRDefault="001C0A05" w:rsidP="00DE13CC">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1C0A05" w:rsidRPr="00AB4376" w:rsidRDefault="001C0A05" w:rsidP="00DE13CC">
            <w:pPr>
              <w:pStyle w:val="FieldText"/>
              <w:rPr>
                <w:rFonts w:ascii="Arial" w:hAnsi="Arial" w:cs="Arial"/>
                <w:b w:val="0"/>
                <w:sz w:val="20"/>
                <w:szCs w:val="20"/>
                <w:lang w:val="hr-HR"/>
              </w:rPr>
            </w:pPr>
          </w:p>
        </w:tc>
      </w:tr>
      <w:tr w:rsidR="001C0A05" w:rsidRPr="00AB4376" w:rsidTr="00DE13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1C0A05" w:rsidRPr="00AB4376" w:rsidRDefault="001C0A05" w:rsidP="00DE13CC">
            <w:pPr>
              <w:tabs>
                <w:tab w:val="left" w:pos="2820"/>
              </w:tabs>
              <w:spacing w:after="0" w:line="240" w:lineRule="auto"/>
              <w:rPr>
                <w:rFonts w:ascii="Arial" w:hAnsi="Arial" w:cs="Arial"/>
                <w:sz w:val="20"/>
                <w:szCs w:val="20"/>
              </w:rPr>
            </w:pPr>
            <w:r w:rsidRPr="00AB4376">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1C0A05" w:rsidRPr="00AB4376" w:rsidRDefault="001C0A05" w:rsidP="00DE13CC">
            <w:pPr>
              <w:tabs>
                <w:tab w:val="left" w:pos="2820"/>
              </w:tabs>
              <w:spacing w:after="0" w:line="240" w:lineRule="auto"/>
              <w:rPr>
                <w:rFonts w:ascii="Arial" w:hAnsi="Arial" w:cs="Arial"/>
                <w:sz w:val="20"/>
                <w:szCs w:val="20"/>
              </w:rPr>
            </w:pPr>
            <w:r w:rsidRPr="00AB4376">
              <w:rPr>
                <w:rFonts w:ascii="Arial" w:hAnsi="Arial" w:cs="Arial"/>
                <w:sz w:val="20"/>
                <w:szCs w:val="20"/>
              </w:rPr>
              <w:t xml:space="preserve">Uvjet za ostvarenje prava na potpis i pristup ispitu je 60%-tna prisutnost na predavanjima za redovne studente, odnosno 30%-tna prisutnost na predavanjima za izvanredne studente. </w:t>
            </w:r>
          </w:p>
        </w:tc>
      </w:tr>
      <w:tr w:rsidR="001C0A05" w:rsidRPr="00AB4376" w:rsidTr="00DE13CC">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1C0A05" w:rsidRPr="00AB4376" w:rsidRDefault="001C0A05" w:rsidP="00DE13CC">
            <w:pPr>
              <w:tabs>
                <w:tab w:val="left" w:pos="2820"/>
              </w:tabs>
              <w:spacing w:after="0" w:line="240" w:lineRule="auto"/>
              <w:rPr>
                <w:rFonts w:ascii="Arial" w:hAnsi="Arial" w:cs="Arial"/>
                <w:sz w:val="20"/>
                <w:szCs w:val="20"/>
              </w:rPr>
            </w:pPr>
            <w:r w:rsidRPr="00AB4376">
              <w:rPr>
                <w:rFonts w:ascii="Arial" w:hAnsi="Arial" w:cs="Arial"/>
                <w:sz w:val="20"/>
                <w:szCs w:val="20"/>
              </w:rPr>
              <w:t xml:space="preserve">Praćenje rada studenata </w:t>
            </w:r>
            <w:r w:rsidRPr="00AB4376">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1C0A05" w:rsidRPr="00AB4376" w:rsidRDefault="001C0A05" w:rsidP="00DE13CC">
            <w:pPr>
              <w:pStyle w:val="FieldText"/>
              <w:rPr>
                <w:rFonts w:ascii="Arial" w:hAnsi="Arial" w:cs="Arial"/>
                <w:b w:val="0"/>
                <w:sz w:val="20"/>
                <w:szCs w:val="20"/>
                <w:lang w:val="hr-HR"/>
              </w:rPr>
            </w:pPr>
            <w:r w:rsidRPr="00AB4376">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1C0A05" w:rsidRPr="00AB4376" w:rsidRDefault="001C0A05" w:rsidP="00DE13CC">
            <w:pPr>
              <w:pStyle w:val="FieldText"/>
              <w:rPr>
                <w:rFonts w:ascii="Arial" w:hAnsi="Arial" w:cs="Arial"/>
                <w:b w:val="0"/>
                <w:sz w:val="20"/>
                <w:szCs w:val="20"/>
                <w:lang w:val="hr-HR"/>
              </w:rPr>
            </w:pPr>
            <w:r w:rsidRPr="00AB4376">
              <w:rPr>
                <w:rFonts w:ascii="Arial" w:hAnsi="Arial" w:cs="Arial"/>
                <w:b w:val="0"/>
                <w:sz w:val="20"/>
                <w:szCs w:val="20"/>
                <w:lang w:val="hr-HR"/>
              </w:rPr>
              <w:t>1</w:t>
            </w:r>
          </w:p>
        </w:tc>
        <w:tc>
          <w:tcPr>
            <w:tcW w:w="1275" w:type="dxa"/>
            <w:gridSpan w:val="3"/>
            <w:tcBorders>
              <w:top w:val="single" w:sz="12" w:space="0" w:color="auto"/>
            </w:tcBorders>
            <w:tcMar>
              <w:left w:w="57" w:type="dxa"/>
              <w:right w:w="57" w:type="dxa"/>
            </w:tcMar>
            <w:vAlign w:val="center"/>
          </w:tcPr>
          <w:p w:rsidR="001C0A05" w:rsidRPr="00AB4376" w:rsidRDefault="001C0A05" w:rsidP="00DE13CC">
            <w:pPr>
              <w:pStyle w:val="FieldText"/>
              <w:rPr>
                <w:rFonts w:ascii="Arial" w:hAnsi="Arial" w:cs="Arial"/>
                <w:b w:val="0"/>
                <w:sz w:val="20"/>
                <w:szCs w:val="20"/>
                <w:lang w:val="hr-HR"/>
              </w:rPr>
            </w:pPr>
            <w:r w:rsidRPr="00AB4376">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1C0A05" w:rsidRPr="00AB4376" w:rsidRDefault="00AF7F27" w:rsidP="00DE13CC">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1C0A05"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1C0A05" w:rsidRPr="00AB4376" w:rsidRDefault="001C0A05" w:rsidP="00DE13CC">
            <w:pPr>
              <w:pStyle w:val="FieldText"/>
              <w:rPr>
                <w:rFonts w:ascii="Arial" w:hAnsi="Arial" w:cs="Arial"/>
                <w:b w:val="0"/>
                <w:sz w:val="20"/>
                <w:szCs w:val="20"/>
                <w:lang w:val="hr-HR"/>
              </w:rPr>
            </w:pPr>
            <w:r w:rsidRPr="00AB4376">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1C0A05" w:rsidRPr="00AB4376" w:rsidRDefault="00AF7F27" w:rsidP="00DE13CC">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1C0A05"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r>
      <w:tr w:rsidR="001C0A05" w:rsidRPr="00AB4376" w:rsidTr="00DE13CC">
        <w:trPr>
          <w:trHeight w:val="397"/>
        </w:trPr>
        <w:tc>
          <w:tcPr>
            <w:tcW w:w="1912" w:type="dxa"/>
            <w:gridSpan w:val="2"/>
            <w:vMerge/>
            <w:tcBorders>
              <w:left w:val="single" w:sz="12" w:space="0" w:color="auto"/>
            </w:tcBorders>
            <w:shd w:val="clear" w:color="auto" w:fill="CCFFFF"/>
            <w:tcMar>
              <w:left w:w="57" w:type="dxa"/>
              <w:right w:w="57" w:type="dxa"/>
            </w:tcMar>
            <w:vAlign w:val="center"/>
          </w:tcPr>
          <w:p w:rsidR="001C0A05" w:rsidRPr="00AB4376" w:rsidRDefault="001C0A05" w:rsidP="001C0A05">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1C0A05" w:rsidRPr="00AB4376" w:rsidRDefault="001C0A05" w:rsidP="00DE13CC">
            <w:pPr>
              <w:pStyle w:val="FieldText"/>
              <w:rPr>
                <w:rFonts w:ascii="Arial" w:hAnsi="Arial" w:cs="Arial"/>
                <w:b w:val="0"/>
                <w:sz w:val="20"/>
                <w:szCs w:val="20"/>
                <w:lang w:val="hr-HR"/>
              </w:rPr>
            </w:pPr>
            <w:r w:rsidRPr="00AB4376">
              <w:rPr>
                <w:rFonts w:ascii="Arial" w:hAnsi="Arial" w:cs="Arial"/>
                <w:b w:val="0"/>
                <w:sz w:val="20"/>
                <w:szCs w:val="20"/>
                <w:lang w:val="hr-HR"/>
              </w:rPr>
              <w:t>Eksperimentalni rad</w:t>
            </w:r>
          </w:p>
        </w:tc>
        <w:tc>
          <w:tcPr>
            <w:tcW w:w="782" w:type="dxa"/>
            <w:tcMar>
              <w:left w:w="57" w:type="dxa"/>
              <w:right w:w="57" w:type="dxa"/>
            </w:tcMar>
            <w:vAlign w:val="center"/>
          </w:tcPr>
          <w:p w:rsidR="001C0A05" w:rsidRPr="00AB4376" w:rsidRDefault="00AF7F27" w:rsidP="00DE13CC">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1C0A05"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c>
          <w:tcPr>
            <w:tcW w:w="1275" w:type="dxa"/>
            <w:gridSpan w:val="3"/>
            <w:tcMar>
              <w:left w:w="57" w:type="dxa"/>
              <w:right w:w="57" w:type="dxa"/>
            </w:tcMar>
            <w:vAlign w:val="center"/>
          </w:tcPr>
          <w:p w:rsidR="001C0A05" w:rsidRPr="00AB4376" w:rsidRDefault="001C0A05" w:rsidP="00DE13CC">
            <w:pPr>
              <w:pStyle w:val="FieldText"/>
              <w:rPr>
                <w:rFonts w:ascii="Arial" w:hAnsi="Arial" w:cs="Arial"/>
                <w:b w:val="0"/>
                <w:sz w:val="20"/>
                <w:szCs w:val="20"/>
                <w:lang w:val="hr-HR"/>
              </w:rPr>
            </w:pPr>
            <w:r w:rsidRPr="00AB4376">
              <w:rPr>
                <w:rFonts w:ascii="Arial" w:hAnsi="Arial" w:cs="Arial"/>
                <w:b w:val="0"/>
                <w:sz w:val="20"/>
                <w:szCs w:val="20"/>
                <w:lang w:val="hr-HR"/>
              </w:rPr>
              <w:t>Referat</w:t>
            </w:r>
          </w:p>
        </w:tc>
        <w:tc>
          <w:tcPr>
            <w:tcW w:w="968" w:type="dxa"/>
            <w:tcMar>
              <w:left w:w="57" w:type="dxa"/>
              <w:right w:w="57" w:type="dxa"/>
            </w:tcMar>
            <w:vAlign w:val="center"/>
          </w:tcPr>
          <w:p w:rsidR="001C0A05" w:rsidRPr="00AB4376" w:rsidRDefault="00AF7F27" w:rsidP="00DE13CC">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1C0A05"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c>
          <w:tcPr>
            <w:tcW w:w="1520" w:type="dxa"/>
            <w:gridSpan w:val="4"/>
            <w:tcMar>
              <w:left w:w="57" w:type="dxa"/>
              <w:right w:w="57" w:type="dxa"/>
            </w:tcMar>
            <w:vAlign w:val="center"/>
          </w:tcPr>
          <w:p w:rsidR="001C0A05" w:rsidRPr="00AB4376" w:rsidRDefault="00AF7F27" w:rsidP="00DE13CC">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1C0A05"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r w:rsidR="001C0A05" w:rsidRPr="00AB4376">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1C0A05" w:rsidRPr="00AB4376" w:rsidRDefault="00AF7F27" w:rsidP="00DE13CC">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1C0A05"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r>
      <w:tr w:rsidR="001C0A05" w:rsidRPr="00AB4376" w:rsidTr="00DE13CC">
        <w:trPr>
          <w:trHeight w:val="397"/>
        </w:trPr>
        <w:tc>
          <w:tcPr>
            <w:tcW w:w="1912" w:type="dxa"/>
            <w:gridSpan w:val="2"/>
            <w:vMerge/>
            <w:tcBorders>
              <w:left w:val="single" w:sz="12" w:space="0" w:color="auto"/>
            </w:tcBorders>
            <w:shd w:val="clear" w:color="auto" w:fill="CCFFFF"/>
            <w:tcMar>
              <w:left w:w="57" w:type="dxa"/>
              <w:right w:w="57" w:type="dxa"/>
            </w:tcMar>
            <w:vAlign w:val="center"/>
          </w:tcPr>
          <w:p w:rsidR="001C0A05" w:rsidRPr="00AB4376" w:rsidRDefault="001C0A05" w:rsidP="001C0A05">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1C0A05" w:rsidRPr="00AB4376" w:rsidRDefault="001C0A05" w:rsidP="00DE13CC">
            <w:pPr>
              <w:pStyle w:val="FieldText"/>
              <w:rPr>
                <w:rFonts w:ascii="Arial" w:hAnsi="Arial" w:cs="Arial"/>
                <w:b w:val="0"/>
                <w:sz w:val="20"/>
                <w:szCs w:val="20"/>
                <w:lang w:val="hr-HR"/>
              </w:rPr>
            </w:pPr>
            <w:r w:rsidRPr="00AB4376">
              <w:rPr>
                <w:rFonts w:ascii="Arial" w:hAnsi="Arial" w:cs="Arial"/>
                <w:b w:val="0"/>
                <w:sz w:val="20"/>
                <w:szCs w:val="20"/>
                <w:lang w:val="hr-HR"/>
              </w:rPr>
              <w:t>Esej</w:t>
            </w:r>
          </w:p>
        </w:tc>
        <w:tc>
          <w:tcPr>
            <w:tcW w:w="782" w:type="dxa"/>
            <w:tcMar>
              <w:left w:w="57" w:type="dxa"/>
              <w:right w:w="57" w:type="dxa"/>
            </w:tcMar>
            <w:vAlign w:val="center"/>
          </w:tcPr>
          <w:p w:rsidR="001C0A05" w:rsidRPr="00AB4376" w:rsidRDefault="00AF7F27" w:rsidP="00DE13CC">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1C0A05"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c>
          <w:tcPr>
            <w:tcW w:w="1275" w:type="dxa"/>
            <w:gridSpan w:val="3"/>
            <w:tcMar>
              <w:left w:w="57" w:type="dxa"/>
              <w:right w:w="57" w:type="dxa"/>
            </w:tcMar>
            <w:vAlign w:val="center"/>
          </w:tcPr>
          <w:p w:rsidR="001C0A05" w:rsidRPr="00AB4376" w:rsidRDefault="001C0A05" w:rsidP="00DE13CC">
            <w:pPr>
              <w:pStyle w:val="FieldText"/>
              <w:rPr>
                <w:rFonts w:ascii="Arial" w:hAnsi="Arial" w:cs="Arial"/>
                <w:b w:val="0"/>
                <w:sz w:val="20"/>
                <w:szCs w:val="20"/>
                <w:lang w:val="hr-HR"/>
              </w:rPr>
            </w:pPr>
            <w:r w:rsidRPr="00AB4376">
              <w:rPr>
                <w:rFonts w:ascii="Arial" w:hAnsi="Arial" w:cs="Arial"/>
                <w:b w:val="0"/>
                <w:sz w:val="20"/>
                <w:szCs w:val="20"/>
                <w:lang w:val="hr-HR"/>
              </w:rPr>
              <w:t>Seminarski rad</w:t>
            </w:r>
          </w:p>
        </w:tc>
        <w:tc>
          <w:tcPr>
            <w:tcW w:w="968" w:type="dxa"/>
            <w:tcMar>
              <w:left w:w="57" w:type="dxa"/>
              <w:right w:w="57" w:type="dxa"/>
            </w:tcMar>
            <w:vAlign w:val="center"/>
          </w:tcPr>
          <w:p w:rsidR="001C0A05" w:rsidRPr="00AB4376" w:rsidRDefault="00AF7F27" w:rsidP="00DE13CC">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1C0A05"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c>
          <w:tcPr>
            <w:tcW w:w="1520" w:type="dxa"/>
            <w:gridSpan w:val="4"/>
            <w:tcMar>
              <w:left w:w="57" w:type="dxa"/>
              <w:right w:w="57" w:type="dxa"/>
            </w:tcMar>
            <w:vAlign w:val="center"/>
          </w:tcPr>
          <w:p w:rsidR="001C0A05" w:rsidRPr="00AB4376" w:rsidRDefault="00AF7F27" w:rsidP="00DE13CC">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1C0A05"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r w:rsidR="001C0A05" w:rsidRPr="00AB4376">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1C0A05" w:rsidRPr="00AB4376" w:rsidRDefault="00AF7F27" w:rsidP="00DE13CC">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1C0A05"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r>
      <w:tr w:rsidR="001C0A05" w:rsidRPr="00AB4376" w:rsidTr="00DE13CC">
        <w:trPr>
          <w:trHeight w:val="397"/>
        </w:trPr>
        <w:tc>
          <w:tcPr>
            <w:tcW w:w="1912" w:type="dxa"/>
            <w:gridSpan w:val="2"/>
            <w:vMerge/>
            <w:tcBorders>
              <w:left w:val="single" w:sz="12" w:space="0" w:color="auto"/>
            </w:tcBorders>
            <w:shd w:val="clear" w:color="auto" w:fill="CCFFFF"/>
            <w:tcMar>
              <w:left w:w="57" w:type="dxa"/>
              <w:right w:w="57" w:type="dxa"/>
            </w:tcMar>
            <w:vAlign w:val="center"/>
          </w:tcPr>
          <w:p w:rsidR="001C0A05" w:rsidRPr="00AB4376" w:rsidRDefault="001C0A05" w:rsidP="001C0A05">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1C0A05" w:rsidRPr="00AB4376" w:rsidRDefault="001C0A05" w:rsidP="00DE13CC">
            <w:pPr>
              <w:pStyle w:val="FieldText"/>
              <w:rPr>
                <w:rFonts w:ascii="Arial" w:hAnsi="Arial" w:cs="Arial"/>
                <w:b w:val="0"/>
                <w:sz w:val="20"/>
                <w:szCs w:val="20"/>
                <w:lang w:val="hr-HR"/>
              </w:rPr>
            </w:pPr>
            <w:r w:rsidRPr="00AB4376">
              <w:rPr>
                <w:rFonts w:ascii="Arial" w:hAnsi="Arial" w:cs="Arial"/>
                <w:b w:val="0"/>
                <w:sz w:val="20"/>
                <w:szCs w:val="20"/>
                <w:lang w:val="hr-HR"/>
              </w:rPr>
              <w:t>Kolokviji</w:t>
            </w:r>
          </w:p>
        </w:tc>
        <w:tc>
          <w:tcPr>
            <w:tcW w:w="782" w:type="dxa"/>
            <w:tcMar>
              <w:left w:w="57" w:type="dxa"/>
              <w:right w:w="57" w:type="dxa"/>
            </w:tcMar>
            <w:vAlign w:val="center"/>
          </w:tcPr>
          <w:p w:rsidR="001C0A05" w:rsidRPr="00AB4376" w:rsidRDefault="001C0A05" w:rsidP="00DE13CC">
            <w:pPr>
              <w:pStyle w:val="FieldText"/>
              <w:rPr>
                <w:rFonts w:ascii="Arial" w:hAnsi="Arial" w:cs="Arial"/>
                <w:b w:val="0"/>
                <w:sz w:val="20"/>
                <w:szCs w:val="20"/>
                <w:lang w:val="hr-HR"/>
              </w:rPr>
            </w:pPr>
            <w:r w:rsidRPr="00AB4376">
              <w:rPr>
                <w:rFonts w:ascii="Arial" w:hAnsi="Arial" w:cs="Arial"/>
                <w:b w:val="0"/>
                <w:sz w:val="20"/>
                <w:szCs w:val="20"/>
                <w:lang w:val="hr-HR"/>
              </w:rPr>
              <w:t>4*</w:t>
            </w:r>
          </w:p>
        </w:tc>
        <w:tc>
          <w:tcPr>
            <w:tcW w:w="1275" w:type="dxa"/>
            <w:gridSpan w:val="3"/>
            <w:tcMar>
              <w:left w:w="57" w:type="dxa"/>
              <w:right w:w="57" w:type="dxa"/>
            </w:tcMar>
            <w:vAlign w:val="center"/>
          </w:tcPr>
          <w:p w:rsidR="001C0A05" w:rsidRPr="00AB4376" w:rsidRDefault="001C0A05" w:rsidP="00DE13CC">
            <w:pPr>
              <w:pStyle w:val="FieldText"/>
              <w:rPr>
                <w:rFonts w:ascii="Arial" w:hAnsi="Arial" w:cs="Arial"/>
                <w:b w:val="0"/>
                <w:sz w:val="20"/>
                <w:szCs w:val="20"/>
                <w:lang w:val="hr-HR"/>
              </w:rPr>
            </w:pPr>
            <w:r w:rsidRPr="00AB4376">
              <w:rPr>
                <w:rFonts w:ascii="Arial" w:hAnsi="Arial" w:cs="Arial"/>
                <w:b w:val="0"/>
                <w:sz w:val="20"/>
                <w:szCs w:val="20"/>
                <w:lang w:val="hr-HR"/>
              </w:rPr>
              <w:t>Usmeni ispit</w:t>
            </w:r>
          </w:p>
        </w:tc>
        <w:tc>
          <w:tcPr>
            <w:tcW w:w="968" w:type="dxa"/>
            <w:tcMar>
              <w:left w:w="57" w:type="dxa"/>
              <w:right w:w="57" w:type="dxa"/>
            </w:tcMar>
            <w:vAlign w:val="center"/>
          </w:tcPr>
          <w:p w:rsidR="001C0A05" w:rsidRPr="00AB4376" w:rsidRDefault="001C0A05" w:rsidP="00DE13CC">
            <w:pPr>
              <w:tabs>
                <w:tab w:val="left" w:pos="2820"/>
              </w:tabs>
              <w:spacing w:after="0"/>
              <w:rPr>
                <w:rFonts w:ascii="Arial" w:hAnsi="Arial" w:cs="Arial"/>
                <w:sz w:val="20"/>
                <w:szCs w:val="20"/>
              </w:rPr>
            </w:pPr>
          </w:p>
        </w:tc>
        <w:tc>
          <w:tcPr>
            <w:tcW w:w="1520" w:type="dxa"/>
            <w:gridSpan w:val="4"/>
            <w:tcMar>
              <w:left w:w="57" w:type="dxa"/>
              <w:right w:w="57" w:type="dxa"/>
            </w:tcMar>
            <w:vAlign w:val="center"/>
          </w:tcPr>
          <w:p w:rsidR="001C0A05" w:rsidRPr="00AB4376" w:rsidRDefault="00AF7F27" w:rsidP="00DE13CC">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1C0A0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1C0A05" w:rsidRPr="00AB4376">
              <w:rPr>
                <w:rFonts w:ascii="Arial" w:hAnsi="Arial" w:cs="Arial"/>
                <w:noProof/>
                <w:sz w:val="20"/>
                <w:szCs w:val="20"/>
              </w:rPr>
              <w:t> </w:t>
            </w:r>
            <w:r w:rsidR="001C0A05" w:rsidRPr="00AB4376">
              <w:rPr>
                <w:rFonts w:ascii="Arial" w:hAnsi="Arial" w:cs="Arial"/>
                <w:noProof/>
                <w:sz w:val="20"/>
                <w:szCs w:val="20"/>
              </w:rPr>
              <w:t> </w:t>
            </w:r>
            <w:r w:rsidR="001C0A05" w:rsidRPr="00AB4376">
              <w:rPr>
                <w:rFonts w:ascii="Arial" w:hAnsi="Arial" w:cs="Arial"/>
                <w:noProof/>
                <w:sz w:val="20"/>
                <w:szCs w:val="20"/>
              </w:rPr>
              <w:t> </w:t>
            </w:r>
            <w:r w:rsidR="001C0A05" w:rsidRPr="00AB4376">
              <w:rPr>
                <w:rFonts w:ascii="Arial" w:hAnsi="Arial" w:cs="Arial"/>
                <w:noProof/>
                <w:sz w:val="20"/>
                <w:szCs w:val="20"/>
              </w:rPr>
              <w:t> </w:t>
            </w:r>
            <w:r w:rsidR="001C0A05" w:rsidRPr="00AB4376">
              <w:rPr>
                <w:rFonts w:ascii="Arial" w:hAnsi="Arial" w:cs="Arial"/>
                <w:noProof/>
                <w:sz w:val="20"/>
                <w:szCs w:val="20"/>
              </w:rPr>
              <w:t> </w:t>
            </w:r>
            <w:r w:rsidRPr="00AB4376">
              <w:rPr>
                <w:rFonts w:ascii="Arial" w:hAnsi="Arial" w:cs="Arial"/>
                <w:sz w:val="20"/>
                <w:szCs w:val="20"/>
              </w:rPr>
              <w:fldChar w:fldCharType="end"/>
            </w:r>
            <w:r w:rsidR="001C0A05" w:rsidRPr="00AB4376">
              <w:rPr>
                <w:rFonts w:ascii="Arial" w:hAnsi="Arial"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1C0A05" w:rsidRPr="00AB4376" w:rsidRDefault="00AF7F27" w:rsidP="00DE13CC">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1C0A0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1C0A05" w:rsidRPr="00AB4376">
              <w:rPr>
                <w:rFonts w:ascii="Arial" w:hAnsi="Arial" w:cs="Arial"/>
                <w:noProof/>
                <w:sz w:val="20"/>
                <w:szCs w:val="20"/>
              </w:rPr>
              <w:t> </w:t>
            </w:r>
            <w:r w:rsidR="001C0A05" w:rsidRPr="00AB4376">
              <w:rPr>
                <w:rFonts w:ascii="Arial" w:hAnsi="Arial" w:cs="Arial"/>
                <w:noProof/>
                <w:sz w:val="20"/>
                <w:szCs w:val="20"/>
              </w:rPr>
              <w:t> </w:t>
            </w:r>
            <w:r w:rsidR="001C0A05" w:rsidRPr="00AB4376">
              <w:rPr>
                <w:rFonts w:ascii="Arial" w:hAnsi="Arial" w:cs="Arial"/>
                <w:noProof/>
                <w:sz w:val="20"/>
                <w:szCs w:val="20"/>
              </w:rPr>
              <w:t> </w:t>
            </w:r>
            <w:r w:rsidR="001C0A05" w:rsidRPr="00AB4376">
              <w:rPr>
                <w:rFonts w:ascii="Arial" w:hAnsi="Arial" w:cs="Arial"/>
                <w:noProof/>
                <w:sz w:val="20"/>
                <w:szCs w:val="20"/>
              </w:rPr>
              <w:t> </w:t>
            </w:r>
            <w:r w:rsidR="001C0A05" w:rsidRPr="00AB4376">
              <w:rPr>
                <w:rFonts w:ascii="Arial" w:hAnsi="Arial" w:cs="Arial"/>
                <w:noProof/>
                <w:sz w:val="20"/>
                <w:szCs w:val="20"/>
              </w:rPr>
              <w:t> </w:t>
            </w:r>
            <w:r w:rsidRPr="00AB4376">
              <w:rPr>
                <w:rFonts w:ascii="Arial" w:hAnsi="Arial" w:cs="Arial"/>
                <w:sz w:val="20"/>
                <w:szCs w:val="20"/>
              </w:rPr>
              <w:fldChar w:fldCharType="end"/>
            </w:r>
          </w:p>
        </w:tc>
      </w:tr>
      <w:tr w:rsidR="001C0A05" w:rsidRPr="00AB4376" w:rsidTr="00DE13CC">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1C0A05" w:rsidRPr="00AB4376" w:rsidRDefault="001C0A05" w:rsidP="001C0A05">
            <w:pPr>
              <w:numPr>
                <w:ilvl w:val="0"/>
                <w:numId w:val="2"/>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rsidR="001C0A05" w:rsidRPr="00AB4376" w:rsidRDefault="001C0A05" w:rsidP="00DE13CC">
            <w:pPr>
              <w:tabs>
                <w:tab w:val="left" w:pos="2820"/>
              </w:tabs>
              <w:spacing w:after="0"/>
              <w:rPr>
                <w:rFonts w:ascii="Arial" w:hAnsi="Arial" w:cs="Arial"/>
                <w:sz w:val="20"/>
                <w:szCs w:val="20"/>
                <w:highlight w:val="yellow"/>
              </w:rPr>
            </w:pPr>
            <w:r w:rsidRPr="00AB4376">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1C0A05" w:rsidRPr="00AB4376" w:rsidRDefault="00F53080" w:rsidP="00DE13CC">
            <w:pPr>
              <w:tabs>
                <w:tab w:val="left" w:pos="2820"/>
              </w:tabs>
              <w:spacing w:after="0"/>
              <w:rPr>
                <w:rFonts w:ascii="Arial" w:hAnsi="Arial" w:cs="Arial"/>
                <w:sz w:val="20"/>
                <w:szCs w:val="20"/>
                <w:highlight w:val="yellow"/>
              </w:rPr>
            </w:pPr>
            <w:r>
              <w:rPr>
                <w:rFonts w:ascii="Arial" w:hAnsi="Arial" w:cs="Arial"/>
                <w:sz w:val="20"/>
                <w:szCs w:val="20"/>
              </w:rPr>
              <w:t>4</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1C0A05" w:rsidRPr="00AB4376" w:rsidRDefault="001C0A05" w:rsidP="00DE13CC">
            <w:pPr>
              <w:tabs>
                <w:tab w:val="left" w:pos="2820"/>
              </w:tabs>
              <w:spacing w:after="0"/>
              <w:rPr>
                <w:rFonts w:ascii="Arial" w:hAnsi="Arial" w:cs="Arial"/>
                <w:sz w:val="20"/>
                <w:szCs w:val="20"/>
                <w:highlight w:val="yellow"/>
              </w:rPr>
            </w:pPr>
            <w:r w:rsidRPr="00AB4376">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1C0A05" w:rsidRPr="00AB4376" w:rsidRDefault="00AF7F27" w:rsidP="00DE13CC">
            <w:pPr>
              <w:tabs>
                <w:tab w:val="left" w:pos="2820"/>
              </w:tabs>
              <w:spacing w:after="0"/>
              <w:rPr>
                <w:rFonts w:ascii="Arial" w:hAnsi="Arial" w:cs="Arial"/>
                <w:sz w:val="20"/>
                <w:szCs w:val="20"/>
                <w:highlight w:val="yellow"/>
              </w:rPr>
            </w:pPr>
            <w:r w:rsidRPr="00AB4376">
              <w:rPr>
                <w:rFonts w:ascii="Arial" w:hAnsi="Arial" w:cs="Arial"/>
                <w:sz w:val="20"/>
                <w:szCs w:val="20"/>
              </w:rPr>
              <w:fldChar w:fldCharType="begin">
                <w:ffData>
                  <w:name w:val="Text1"/>
                  <w:enabled/>
                  <w:calcOnExit w:val="0"/>
                  <w:textInput/>
                </w:ffData>
              </w:fldChar>
            </w:r>
            <w:r w:rsidR="001C0A0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1C0A05" w:rsidRPr="00AB4376">
              <w:rPr>
                <w:rFonts w:ascii="Arial" w:hAnsi="Arial" w:cs="Arial"/>
                <w:noProof/>
                <w:sz w:val="20"/>
                <w:szCs w:val="20"/>
              </w:rPr>
              <w:t> </w:t>
            </w:r>
            <w:r w:rsidR="001C0A05" w:rsidRPr="00AB4376">
              <w:rPr>
                <w:rFonts w:ascii="Arial" w:hAnsi="Arial" w:cs="Arial"/>
                <w:noProof/>
                <w:sz w:val="20"/>
                <w:szCs w:val="20"/>
              </w:rPr>
              <w:t> </w:t>
            </w:r>
            <w:r w:rsidR="001C0A05" w:rsidRPr="00AB4376">
              <w:rPr>
                <w:rFonts w:ascii="Arial" w:hAnsi="Arial" w:cs="Arial"/>
                <w:noProof/>
                <w:sz w:val="20"/>
                <w:szCs w:val="20"/>
              </w:rPr>
              <w:t> </w:t>
            </w:r>
            <w:r w:rsidR="001C0A05" w:rsidRPr="00AB4376">
              <w:rPr>
                <w:rFonts w:ascii="Arial" w:hAnsi="Arial" w:cs="Arial"/>
                <w:noProof/>
                <w:sz w:val="20"/>
                <w:szCs w:val="20"/>
              </w:rPr>
              <w:t> </w:t>
            </w:r>
            <w:r w:rsidR="001C0A05" w:rsidRPr="00AB4376">
              <w:rPr>
                <w:rFonts w:ascii="Arial" w:hAnsi="Arial" w:cs="Arial"/>
                <w:noProof/>
                <w:sz w:val="20"/>
                <w:szCs w:val="20"/>
              </w:rPr>
              <w:t> </w:t>
            </w:r>
            <w:r w:rsidRPr="00AB4376">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1C0A05" w:rsidRPr="00AB4376" w:rsidRDefault="00AF7F27" w:rsidP="00DE13CC">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1C0A0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1C0A05" w:rsidRPr="00AB4376">
              <w:rPr>
                <w:rFonts w:ascii="Arial" w:hAnsi="Arial" w:cs="Arial"/>
                <w:noProof/>
                <w:sz w:val="20"/>
                <w:szCs w:val="20"/>
              </w:rPr>
              <w:t> </w:t>
            </w:r>
            <w:r w:rsidR="001C0A05" w:rsidRPr="00AB4376">
              <w:rPr>
                <w:rFonts w:ascii="Arial" w:hAnsi="Arial" w:cs="Arial"/>
                <w:noProof/>
                <w:sz w:val="20"/>
                <w:szCs w:val="20"/>
              </w:rPr>
              <w:t> </w:t>
            </w:r>
            <w:r w:rsidR="001C0A05" w:rsidRPr="00AB4376">
              <w:rPr>
                <w:rFonts w:ascii="Arial" w:hAnsi="Arial" w:cs="Arial"/>
                <w:noProof/>
                <w:sz w:val="20"/>
                <w:szCs w:val="20"/>
              </w:rPr>
              <w:t> </w:t>
            </w:r>
            <w:r w:rsidR="001C0A05" w:rsidRPr="00AB4376">
              <w:rPr>
                <w:rFonts w:ascii="Arial" w:hAnsi="Arial" w:cs="Arial"/>
                <w:noProof/>
                <w:sz w:val="20"/>
                <w:szCs w:val="20"/>
              </w:rPr>
              <w:t> </w:t>
            </w:r>
            <w:r w:rsidR="001C0A05" w:rsidRPr="00AB4376">
              <w:rPr>
                <w:rFonts w:ascii="Arial" w:hAnsi="Arial" w:cs="Arial"/>
                <w:noProof/>
                <w:sz w:val="20"/>
                <w:szCs w:val="20"/>
              </w:rPr>
              <w:t> </w:t>
            </w:r>
            <w:r w:rsidRPr="00AB4376">
              <w:rPr>
                <w:rFonts w:ascii="Arial" w:hAnsi="Arial" w:cs="Arial"/>
                <w:sz w:val="20"/>
                <w:szCs w:val="20"/>
              </w:rPr>
              <w:fldChar w:fldCharType="end"/>
            </w:r>
            <w:r w:rsidR="001C0A05" w:rsidRPr="00AB4376">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1C0A05" w:rsidRPr="00AB4376" w:rsidRDefault="00AF7F27" w:rsidP="00DE13CC">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1C0A0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1C0A05" w:rsidRPr="00AB4376">
              <w:rPr>
                <w:rFonts w:ascii="Arial" w:hAnsi="Arial" w:cs="Arial"/>
                <w:noProof/>
                <w:sz w:val="20"/>
                <w:szCs w:val="20"/>
              </w:rPr>
              <w:t> </w:t>
            </w:r>
            <w:r w:rsidR="001C0A05" w:rsidRPr="00AB4376">
              <w:rPr>
                <w:rFonts w:ascii="Arial" w:hAnsi="Arial" w:cs="Arial"/>
                <w:noProof/>
                <w:sz w:val="20"/>
                <w:szCs w:val="20"/>
              </w:rPr>
              <w:t> </w:t>
            </w:r>
            <w:r w:rsidR="001C0A05" w:rsidRPr="00AB4376">
              <w:rPr>
                <w:rFonts w:ascii="Arial" w:hAnsi="Arial" w:cs="Arial"/>
                <w:noProof/>
                <w:sz w:val="20"/>
                <w:szCs w:val="20"/>
              </w:rPr>
              <w:t> </w:t>
            </w:r>
            <w:r w:rsidR="001C0A05" w:rsidRPr="00AB4376">
              <w:rPr>
                <w:rFonts w:ascii="Arial" w:hAnsi="Arial" w:cs="Arial"/>
                <w:noProof/>
                <w:sz w:val="20"/>
                <w:szCs w:val="20"/>
              </w:rPr>
              <w:t> </w:t>
            </w:r>
            <w:r w:rsidR="001C0A05" w:rsidRPr="00AB4376">
              <w:rPr>
                <w:rFonts w:ascii="Arial" w:hAnsi="Arial" w:cs="Arial"/>
                <w:noProof/>
                <w:sz w:val="20"/>
                <w:szCs w:val="20"/>
              </w:rPr>
              <w:t> </w:t>
            </w:r>
            <w:r w:rsidRPr="00AB4376">
              <w:rPr>
                <w:rFonts w:ascii="Arial" w:hAnsi="Arial" w:cs="Arial"/>
                <w:sz w:val="20"/>
                <w:szCs w:val="20"/>
              </w:rPr>
              <w:fldChar w:fldCharType="end"/>
            </w:r>
          </w:p>
        </w:tc>
      </w:tr>
      <w:tr w:rsidR="001C0A05" w:rsidRPr="00AB4376" w:rsidTr="00DE13CC">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1C0A05" w:rsidRPr="00AB4376" w:rsidRDefault="001C0A05" w:rsidP="00DE13CC">
            <w:pPr>
              <w:tabs>
                <w:tab w:val="left" w:pos="360"/>
                <w:tab w:val="left" w:pos="540"/>
              </w:tabs>
              <w:spacing w:after="0" w:line="240" w:lineRule="auto"/>
              <w:rPr>
                <w:rFonts w:ascii="Arial" w:hAnsi="Arial" w:cs="Arial"/>
                <w:sz w:val="20"/>
                <w:szCs w:val="20"/>
              </w:rPr>
            </w:pPr>
            <w:r w:rsidRPr="00AB4376">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1C0A05" w:rsidRPr="00AB4376" w:rsidRDefault="001C0A05" w:rsidP="00DE13CC">
            <w:pPr>
              <w:tabs>
                <w:tab w:val="left" w:pos="360"/>
                <w:tab w:val="left" w:pos="540"/>
              </w:tabs>
              <w:spacing w:after="0" w:line="240" w:lineRule="auto"/>
              <w:jc w:val="both"/>
              <w:rPr>
                <w:rFonts w:ascii="Arial" w:hAnsi="Arial" w:cs="Arial"/>
                <w:sz w:val="20"/>
                <w:szCs w:val="20"/>
              </w:rPr>
            </w:pPr>
            <w:r w:rsidRPr="00AB4376">
              <w:rPr>
                <w:rFonts w:ascii="Arial" w:hAnsi="Arial" w:cs="Arial"/>
                <w:sz w:val="20"/>
                <w:szCs w:val="20"/>
              </w:rPr>
              <w:t>Kolokvij, pisani ispit</w:t>
            </w:r>
            <w:r w:rsidR="00F53080">
              <w:rPr>
                <w:rFonts w:ascii="Arial" w:hAnsi="Arial" w:cs="Arial"/>
                <w:sz w:val="20"/>
                <w:szCs w:val="20"/>
              </w:rPr>
              <w:t xml:space="preserve">. </w:t>
            </w:r>
            <w:r w:rsidRPr="00AB4376">
              <w:rPr>
                <w:rFonts w:ascii="Arial" w:hAnsi="Arial" w:cs="Arial"/>
                <w:sz w:val="20"/>
                <w:szCs w:val="20"/>
              </w:rPr>
              <w:t xml:space="preserve">Ispit provodi predmetni nastavnik. Student može kolokvirati ispit. Dodatno će se vrednovati aktivnost studenata na vježbama. Studenti koji budu aktivno sudjelovali u diskusijama na vježbama, rješavanju problemskih zadataka i studija slučaja i/ili korektno izradili i prezentirali referate na ponuđene teme mogu uvećati konačnu ocjenu. </w:t>
            </w:r>
          </w:p>
          <w:p w:rsidR="001C0A05" w:rsidRPr="00AB4376" w:rsidRDefault="001C0A05" w:rsidP="00DE13CC">
            <w:pPr>
              <w:tabs>
                <w:tab w:val="left" w:pos="360"/>
                <w:tab w:val="left" w:pos="540"/>
              </w:tabs>
              <w:spacing w:after="0" w:line="240" w:lineRule="auto"/>
              <w:jc w:val="both"/>
              <w:rPr>
                <w:rFonts w:ascii="Arial" w:hAnsi="Arial" w:cs="Arial"/>
                <w:sz w:val="20"/>
                <w:szCs w:val="20"/>
              </w:rPr>
            </w:pPr>
            <w:r w:rsidRPr="00AB4376">
              <w:rPr>
                <w:rFonts w:ascii="Arial" w:hAnsi="Arial" w:cs="Arial"/>
                <w:sz w:val="20"/>
                <w:szCs w:val="20"/>
              </w:rPr>
              <w:lastRenderedPageBreak/>
              <w:t xml:space="preserve">* Polaganje kolokvija zamjenjuje završni pisani </w:t>
            </w:r>
            <w:bookmarkStart w:id="0" w:name="_GoBack"/>
            <w:bookmarkEnd w:id="0"/>
            <w:r w:rsidRPr="00AB4376">
              <w:rPr>
                <w:rFonts w:ascii="Arial" w:hAnsi="Arial" w:cs="Arial"/>
                <w:sz w:val="20"/>
                <w:szCs w:val="20"/>
              </w:rPr>
              <w:t>dio ispita.</w:t>
            </w:r>
          </w:p>
          <w:p w:rsidR="001C0A05" w:rsidRPr="00AB4376" w:rsidRDefault="001C0A05" w:rsidP="00DE13CC">
            <w:pPr>
              <w:tabs>
                <w:tab w:val="left" w:pos="360"/>
                <w:tab w:val="left" w:pos="540"/>
              </w:tabs>
              <w:spacing w:after="0" w:line="240" w:lineRule="auto"/>
              <w:jc w:val="both"/>
              <w:rPr>
                <w:rFonts w:ascii="Arial" w:hAnsi="Arial" w:cs="Arial"/>
                <w:sz w:val="20"/>
                <w:szCs w:val="20"/>
              </w:rPr>
            </w:pPr>
            <w:r w:rsidRPr="00AB4376">
              <w:rPr>
                <w:rFonts w:ascii="Arial" w:hAnsi="Arial" w:cs="Arial"/>
                <w:sz w:val="20"/>
                <w:szCs w:val="20"/>
              </w:rPr>
              <w:t xml:space="preserve">Tijekom semestra održat će se dvije pisane provjere znanja (u obliku dva kolokvija ili dva testa). Drugoj pisanoj provjeri znanja mogu pristupiti isključivo studenti koji su položili prvu pisanu provjeru znanja. Studenti koji polože obje pisane provjere znanja, bit će oslobođeni polaganja ispita. Konačna ocjena formira se kao prosječna ocjena pisanih provjera znanja te može biti uvećana u slučaju osobite angažiranosti studenata na vježbama. </w:t>
            </w:r>
          </w:p>
          <w:p w:rsidR="001C0A05" w:rsidRPr="00AB4376" w:rsidRDefault="001C0A05" w:rsidP="00DE13CC">
            <w:pPr>
              <w:tabs>
                <w:tab w:val="left" w:pos="360"/>
                <w:tab w:val="left" w:pos="540"/>
              </w:tabs>
              <w:spacing w:after="0" w:line="240" w:lineRule="auto"/>
              <w:jc w:val="both"/>
              <w:rPr>
                <w:rFonts w:ascii="Arial" w:hAnsi="Arial" w:cs="Arial"/>
                <w:sz w:val="20"/>
                <w:szCs w:val="20"/>
              </w:rPr>
            </w:pPr>
            <w:r w:rsidRPr="00AB4376">
              <w:rPr>
                <w:rFonts w:ascii="Arial" w:hAnsi="Arial" w:cs="Arial"/>
                <w:sz w:val="20"/>
                <w:szCs w:val="20"/>
              </w:rPr>
              <w:t>Termini ispita bit će definirani kalendarom ispita. Ispit se polaže u pisanom obliku i sastoji se od 5 pitanja. Ocjenjivanje: svako pitanje ocjenjuje se ocjenom od nedovoljan (1) do izvrstan (5), a ukupna ocjena formira se kao prosječna ocjena. Prolazna ocjena dovoljan (2) ne smije biti rezultat zaokruživanja na veću decimalu. U slučaju da prosječna ocjena nije cijeli broj, konačna ocjena formirat će se u ovisnosti od ocjena zahtjevnijih ispitnih pitanja, pri čemu će se pitanja obuhvaćena drugom pisanom provjerom znanja uzimati kao zahtjevnije ispitno gradivo.</w:t>
            </w:r>
          </w:p>
        </w:tc>
      </w:tr>
      <w:tr w:rsidR="001C0A05" w:rsidRPr="00AB4376" w:rsidTr="00DE13CC">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1C0A05" w:rsidRPr="00AB4376" w:rsidRDefault="001C0A05" w:rsidP="00DE13CC">
            <w:pPr>
              <w:tabs>
                <w:tab w:val="left" w:pos="540"/>
              </w:tabs>
              <w:spacing w:after="0" w:line="240" w:lineRule="auto"/>
              <w:rPr>
                <w:rFonts w:ascii="Arial" w:hAnsi="Arial" w:cs="Arial"/>
                <w:sz w:val="20"/>
                <w:szCs w:val="20"/>
              </w:rPr>
            </w:pPr>
            <w:r w:rsidRPr="00AB4376">
              <w:rPr>
                <w:rFonts w:ascii="Arial" w:hAnsi="Arial" w:cs="Arial"/>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1C0A05" w:rsidRPr="00AB4376" w:rsidRDefault="001C0A05" w:rsidP="00DE13CC">
            <w:pPr>
              <w:tabs>
                <w:tab w:val="left" w:pos="2820"/>
              </w:tabs>
              <w:spacing w:after="0"/>
              <w:jc w:val="center"/>
              <w:rPr>
                <w:rFonts w:ascii="Arial" w:hAnsi="Arial" w:cs="Arial"/>
                <w:b/>
                <w:sz w:val="20"/>
                <w:szCs w:val="20"/>
              </w:rPr>
            </w:pPr>
            <w:r w:rsidRPr="00AB4376">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1C0A05" w:rsidRPr="00AB4376" w:rsidRDefault="001C0A05" w:rsidP="00DE13CC">
            <w:pPr>
              <w:tabs>
                <w:tab w:val="left" w:pos="2820"/>
              </w:tabs>
              <w:spacing w:after="0"/>
              <w:jc w:val="center"/>
              <w:rPr>
                <w:rFonts w:ascii="Arial" w:hAnsi="Arial" w:cs="Arial"/>
                <w:b/>
                <w:sz w:val="20"/>
                <w:szCs w:val="20"/>
              </w:rPr>
            </w:pPr>
            <w:r w:rsidRPr="00AB4376">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1C0A05" w:rsidRPr="00AB4376" w:rsidRDefault="001C0A05" w:rsidP="00DE13CC">
            <w:pPr>
              <w:tabs>
                <w:tab w:val="left" w:pos="2820"/>
              </w:tabs>
              <w:spacing w:after="0"/>
              <w:jc w:val="center"/>
              <w:rPr>
                <w:rFonts w:ascii="Arial" w:hAnsi="Arial" w:cs="Arial"/>
                <w:b/>
                <w:sz w:val="20"/>
                <w:szCs w:val="20"/>
              </w:rPr>
            </w:pPr>
            <w:r w:rsidRPr="00AB4376">
              <w:rPr>
                <w:rFonts w:ascii="Arial" w:hAnsi="Arial" w:cs="Arial"/>
                <w:b/>
                <w:sz w:val="20"/>
                <w:szCs w:val="20"/>
              </w:rPr>
              <w:t>Dostupnost putem ostalih medija</w:t>
            </w:r>
          </w:p>
        </w:tc>
      </w:tr>
      <w:tr w:rsidR="001C0A05" w:rsidRPr="00AB4376" w:rsidTr="00DE13CC">
        <w:trPr>
          <w:trHeight w:val="75"/>
        </w:trPr>
        <w:tc>
          <w:tcPr>
            <w:tcW w:w="1912" w:type="dxa"/>
            <w:gridSpan w:val="2"/>
            <w:vMerge/>
            <w:tcBorders>
              <w:left w:val="single" w:sz="12" w:space="0" w:color="auto"/>
            </w:tcBorders>
            <w:shd w:val="clear" w:color="auto" w:fill="CCFFFF"/>
            <w:tcMar>
              <w:left w:w="57" w:type="dxa"/>
              <w:right w:w="57" w:type="dxa"/>
            </w:tcMar>
            <w:vAlign w:val="center"/>
          </w:tcPr>
          <w:p w:rsidR="001C0A05" w:rsidRPr="00AB4376" w:rsidRDefault="001C0A05" w:rsidP="001C0A05">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1C0A05" w:rsidRPr="00AB4376" w:rsidRDefault="001C0A05" w:rsidP="001C0A05">
            <w:pPr>
              <w:numPr>
                <w:ilvl w:val="0"/>
                <w:numId w:val="5"/>
              </w:numPr>
              <w:tabs>
                <w:tab w:val="left" w:pos="2820"/>
              </w:tabs>
              <w:spacing w:after="0"/>
              <w:rPr>
                <w:rFonts w:ascii="Arial" w:hAnsi="Arial" w:cs="Arial"/>
                <w:sz w:val="20"/>
                <w:szCs w:val="20"/>
              </w:rPr>
            </w:pPr>
            <w:r w:rsidRPr="00AB4376">
              <w:rPr>
                <w:rFonts w:ascii="Arial" w:hAnsi="Arial" w:cs="Arial"/>
                <w:sz w:val="20"/>
                <w:szCs w:val="20"/>
              </w:rPr>
              <w:t>Kundid, A. Orijentacijski materijali za pripremu kolokvija i ispita iz predmetnog kolegija.</w:t>
            </w:r>
          </w:p>
        </w:tc>
        <w:tc>
          <w:tcPr>
            <w:tcW w:w="1244" w:type="dxa"/>
            <w:gridSpan w:val="2"/>
            <w:tcBorders>
              <w:top w:val="single" w:sz="8" w:space="0" w:color="auto"/>
              <w:left w:val="single" w:sz="8" w:space="0" w:color="auto"/>
              <w:right w:val="single" w:sz="8" w:space="0" w:color="auto"/>
            </w:tcBorders>
            <w:tcMar>
              <w:left w:w="57" w:type="dxa"/>
              <w:right w:w="57" w:type="dxa"/>
            </w:tcMar>
          </w:tcPr>
          <w:p w:rsidR="001C0A05" w:rsidRPr="00AB4376" w:rsidRDefault="001C0A05" w:rsidP="00DE13CC">
            <w:pPr>
              <w:tabs>
                <w:tab w:val="left" w:pos="2820"/>
              </w:tabs>
              <w:spacing w:after="0"/>
              <w:jc w:val="center"/>
              <w:rPr>
                <w:rFonts w:ascii="Arial" w:hAnsi="Arial" w:cs="Arial"/>
                <w:sz w:val="20"/>
                <w:szCs w:val="20"/>
              </w:rPr>
            </w:pPr>
            <w:r w:rsidRPr="00AB4376">
              <w:rPr>
                <w:rFonts w:ascii="Arial" w:hAnsi="Arial" w:cs="Arial"/>
                <w:sz w:val="20"/>
                <w:szCs w:val="20"/>
              </w:rPr>
              <w:t>/</w:t>
            </w:r>
          </w:p>
        </w:tc>
        <w:tc>
          <w:tcPr>
            <w:tcW w:w="1518" w:type="dxa"/>
            <w:gridSpan w:val="3"/>
            <w:tcBorders>
              <w:top w:val="single" w:sz="8" w:space="0" w:color="auto"/>
              <w:left w:val="single" w:sz="8" w:space="0" w:color="auto"/>
              <w:right w:val="single" w:sz="12" w:space="0" w:color="auto"/>
            </w:tcBorders>
            <w:tcMar>
              <w:left w:w="57" w:type="dxa"/>
              <w:right w:w="57" w:type="dxa"/>
            </w:tcMar>
          </w:tcPr>
          <w:p w:rsidR="001C0A05" w:rsidRPr="00AB4376" w:rsidRDefault="004D4CCE" w:rsidP="004D4CCE">
            <w:pPr>
              <w:tabs>
                <w:tab w:val="left" w:pos="2820"/>
              </w:tabs>
              <w:spacing w:after="0"/>
              <w:jc w:val="center"/>
              <w:rPr>
                <w:rFonts w:ascii="Arial" w:hAnsi="Arial" w:cs="Arial"/>
                <w:sz w:val="20"/>
                <w:szCs w:val="20"/>
              </w:rPr>
            </w:pPr>
            <w:r>
              <w:rPr>
                <w:rFonts w:ascii="Arial" w:hAnsi="Arial" w:cs="Arial"/>
                <w:sz w:val="20"/>
                <w:szCs w:val="20"/>
              </w:rPr>
              <w:t>Moodle</w:t>
            </w:r>
          </w:p>
        </w:tc>
      </w:tr>
      <w:tr w:rsidR="001C0A05" w:rsidRPr="00AB4376" w:rsidTr="00DE13CC">
        <w:trPr>
          <w:trHeight w:val="75"/>
        </w:trPr>
        <w:tc>
          <w:tcPr>
            <w:tcW w:w="1912" w:type="dxa"/>
            <w:gridSpan w:val="2"/>
            <w:vMerge/>
            <w:tcBorders>
              <w:left w:val="single" w:sz="12" w:space="0" w:color="auto"/>
            </w:tcBorders>
            <w:shd w:val="clear" w:color="auto" w:fill="CCFFFF"/>
            <w:tcMar>
              <w:left w:w="57" w:type="dxa"/>
              <w:right w:w="57" w:type="dxa"/>
            </w:tcMar>
            <w:vAlign w:val="center"/>
          </w:tcPr>
          <w:p w:rsidR="001C0A05" w:rsidRPr="00AB4376" w:rsidRDefault="001C0A05" w:rsidP="001C0A05">
            <w:pPr>
              <w:numPr>
                <w:ilvl w:val="0"/>
                <w:numId w:val="5"/>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1C0A05" w:rsidRPr="00AB4376" w:rsidRDefault="001C0A05" w:rsidP="001C0A05">
            <w:pPr>
              <w:numPr>
                <w:ilvl w:val="0"/>
                <w:numId w:val="5"/>
              </w:numPr>
              <w:tabs>
                <w:tab w:val="left" w:pos="2820"/>
              </w:tabs>
              <w:spacing w:after="0"/>
              <w:rPr>
                <w:rFonts w:ascii="Arial" w:hAnsi="Arial" w:cs="Arial"/>
                <w:sz w:val="20"/>
                <w:szCs w:val="20"/>
              </w:rPr>
            </w:pPr>
            <w:r w:rsidRPr="00AB4376">
              <w:rPr>
                <w:rFonts w:ascii="Arial" w:hAnsi="Arial" w:cs="Arial"/>
                <w:sz w:val="20"/>
                <w:szCs w:val="20"/>
              </w:rPr>
              <w:t xml:space="preserve">Rose, P. S. (2005) </w:t>
            </w:r>
            <w:r w:rsidRPr="00AB4376">
              <w:rPr>
                <w:rFonts w:ascii="Arial" w:hAnsi="Arial" w:cs="Arial"/>
                <w:i/>
                <w:sz w:val="20"/>
                <w:szCs w:val="20"/>
              </w:rPr>
              <w:t>Menadžment komercijalnih banaka</w:t>
            </w:r>
            <w:r w:rsidRPr="00AB4376">
              <w:rPr>
                <w:rFonts w:ascii="Arial" w:hAnsi="Arial" w:cs="Arial"/>
                <w:sz w:val="20"/>
                <w:szCs w:val="20"/>
              </w:rPr>
              <w:t>. Zagreb: MATE.</w:t>
            </w:r>
          </w:p>
        </w:tc>
        <w:tc>
          <w:tcPr>
            <w:tcW w:w="1244" w:type="dxa"/>
            <w:gridSpan w:val="2"/>
            <w:tcBorders>
              <w:left w:val="single" w:sz="8" w:space="0" w:color="auto"/>
              <w:right w:val="single" w:sz="8" w:space="0" w:color="auto"/>
            </w:tcBorders>
            <w:tcMar>
              <w:left w:w="57" w:type="dxa"/>
              <w:right w:w="57" w:type="dxa"/>
            </w:tcMar>
          </w:tcPr>
          <w:p w:rsidR="001C0A05" w:rsidRPr="00AB4376" w:rsidRDefault="001C0A05" w:rsidP="00DE13CC">
            <w:pPr>
              <w:tabs>
                <w:tab w:val="left" w:pos="2820"/>
              </w:tabs>
              <w:spacing w:after="0"/>
              <w:jc w:val="center"/>
              <w:rPr>
                <w:rFonts w:ascii="Arial" w:hAnsi="Arial" w:cs="Arial"/>
                <w:sz w:val="20"/>
                <w:szCs w:val="20"/>
              </w:rPr>
            </w:pPr>
            <w:r w:rsidRPr="00AB4376">
              <w:rPr>
                <w:rFonts w:ascii="Arial" w:hAnsi="Arial" w:cs="Arial"/>
                <w:sz w:val="20"/>
                <w:szCs w:val="20"/>
              </w:rPr>
              <w:t>6</w:t>
            </w:r>
          </w:p>
        </w:tc>
        <w:tc>
          <w:tcPr>
            <w:tcW w:w="1518" w:type="dxa"/>
            <w:gridSpan w:val="3"/>
            <w:tcBorders>
              <w:left w:val="single" w:sz="8" w:space="0" w:color="auto"/>
              <w:right w:val="single" w:sz="12" w:space="0" w:color="auto"/>
            </w:tcBorders>
            <w:tcMar>
              <w:left w:w="57" w:type="dxa"/>
              <w:right w:w="57" w:type="dxa"/>
            </w:tcMar>
          </w:tcPr>
          <w:p w:rsidR="001C0A05" w:rsidRPr="00AB4376" w:rsidRDefault="001C0A05" w:rsidP="00DE13CC">
            <w:pPr>
              <w:tabs>
                <w:tab w:val="left" w:pos="2820"/>
              </w:tabs>
              <w:spacing w:after="0"/>
              <w:jc w:val="center"/>
              <w:rPr>
                <w:rFonts w:ascii="Arial" w:hAnsi="Arial" w:cs="Arial"/>
                <w:sz w:val="20"/>
                <w:szCs w:val="20"/>
              </w:rPr>
            </w:pPr>
            <w:r w:rsidRPr="00AB4376">
              <w:rPr>
                <w:rFonts w:ascii="Arial" w:hAnsi="Arial" w:cs="Arial"/>
                <w:sz w:val="20"/>
                <w:szCs w:val="20"/>
              </w:rPr>
              <w:t>/</w:t>
            </w:r>
          </w:p>
        </w:tc>
      </w:tr>
      <w:tr w:rsidR="001C0A05" w:rsidRPr="00AB4376" w:rsidTr="00DE13CC">
        <w:trPr>
          <w:trHeight w:val="75"/>
        </w:trPr>
        <w:tc>
          <w:tcPr>
            <w:tcW w:w="1912" w:type="dxa"/>
            <w:gridSpan w:val="2"/>
            <w:vMerge/>
            <w:tcBorders>
              <w:left w:val="single" w:sz="12" w:space="0" w:color="auto"/>
            </w:tcBorders>
            <w:shd w:val="clear" w:color="auto" w:fill="CCFFFF"/>
            <w:tcMar>
              <w:left w:w="57" w:type="dxa"/>
              <w:right w:w="57" w:type="dxa"/>
            </w:tcMar>
            <w:vAlign w:val="center"/>
          </w:tcPr>
          <w:p w:rsidR="001C0A05" w:rsidRPr="00AB4376" w:rsidRDefault="001C0A05" w:rsidP="001C0A05">
            <w:pPr>
              <w:numPr>
                <w:ilvl w:val="0"/>
                <w:numId w:val="5"/>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1C0A05" w:rsidRPr="00AB4376" w:rsidRDefault="001C0A05" w:rsidP="001C0A05">
            <w:pPr>
              <w:numPr>
                <w:ilvl w:val="0"/>
                <w:numId w:val="5"/>
              </w:numPr>
              <w:tabs>
                <w:tab w:val="left" w:pos="2820"/>
              </w:tabs>
              <w:spacing w:after="0"/>
              <w:rPr>
                <w:rFonts w:ascii="Arial" w:hAnsi="Arial" w:cs="Arial"/>
                <w:sz w:val="20"/>
                <w:szCs w:val="20"/>
              </w:rPr>
            </w:pPr>
            <w:r w:rsidRPr="00AB4376">
              <w:rPr>
                <w:rFonts w:ascii="Arial" w:hAnsi="Arial" w:cs="Arial"/>
                <w:sz w:val="20"/>
                <w:szCs w:val="20"/>
              </w:rPr>
              <w:t xml:space="preserve">van Greuning, H. i Brajovic Bratanovic, S. (2006) </w:t>
            </w:r>
            <w:r w:rsidRPr="00AB4376">
              <w:rPr>
                <w:rFonts w:ascii="Arial" w:hAnsi="Arial" w:cs="Arial"/>
                <w:i/>
                <w:sz w:val="20"/>
                <w:szCs w:val="20"/>
              </w:rPr>
              <w:t>Analiza i upravljanje bankovnim rizicima: pristupi za ocjenu organizacije upravljanja rizicima i izloženosti financijskom riziku</w:t>
            </w:r>
            <w:r w:rsidRPr="00AB4376">
              <w:rPr>
                <w:rFonts w:ascii="Arial" w:hAnsi="Arial" w:cs="Arial"/>
                <w:sz w:val="20"/>
                <w:szCs w:val="20"/>
              </w:rPr>
              <w:t>. Zagreb: MATE.</w:t>
            </w:r>
          </w:p>
        </w:tc>
        <w:tc>
          <w:tcPr>
            <w:tcW w:w="1244" w:type="dxa"/>
            <w:gridSpan w:val="2"/>
            <w:tcBorders>
              <w:left w:val="single" w:sz="8" w:space="0" w:color="auto"/>
              <w:right w:val="single" w:sz="8" w:space="0" w:color="auto"/>
            </w:tcBorders>
            <w:tcMar>
              <w:left w:w="57" w:type="dxa"/>
              <w:right w:w="57" w:type="dxa"/>
            </w:tcMar>
          </w:tcPr>
          <w:p w:rsidR="001C0A05" w:rsidRPr="00AB4376" w:rsidRDefault="001C0A05" w:rsidP="00DE13CC">
            <w:pPr>
              <w:tabs>
                <w:tab w:val="left" w:pos="2820"/>
              </w:tabs>
              <w:spacing w:after="0"/>
              <w:jc w:val="center"/>
              <w:rPr>
                <w:rFonts w:ascii="Arial" w:hAnsi="Arial" w:cs="Arial"/>
                <w:sz w:val="20"/>
                <w:szCs w:val="20"/>
              </w:rPr>
            </w:pPr>
            <w:r w:rsidRPr="00AB4376">
              <w:rPr>
                <w:rFonts w:ascii="Arial" w:hAnsi="Arial" w:cs="Arial"/>
                <w:sz w:val="20"/>
                <w:szCs w:val="20"/>
              </w:rPr>
              <w:t>4</w:t>
            </w:r>
          </w:p>
        </w:tc>
        <w:tc>
          <w:tcPr>
            <w:tcW w:w="1518" w:type="dxa"/>
            <w:gridSpan w:val="3"/>
            <w:tcBorders>
              <w:left w:val="single" w:sz="8" w:space="0" w:color="auto"/>
              <w:right w:val="single" w:sz="12" w:space="0" w:color="auto"/>
            </w:tcBorders>
            <w:tcMar>
              <w:left w:w="57" w:type="dxa"/>
              <w:right w:w="57" w:type="dxa"/>
            </w:tcMar>
          </w:tcPr>
          <w:p w:rsidR="001C0A05" w:rsidRPr="00AB4376" w:rsidRDefault="001C0A05" w:rsidP="00DE13CC">
            <w:pPr>
              <w:tabs>
                <w:tab w:val="left" w:pos="2820"/>
              </w:tabs>
              <w:spacing w:after="0"/>
              <w:jc w:val="center"/>
              <w:rPr>
                <w:rFonts w:ascii="Arial" w:hAnsi="Arial" w:cs="Arial"/>
                <w:sz w:val="20"/>
                <w:szCs w:val="20"/>
              </w:rPr>
            </w:pPr>
            <w:r w:rsidRPr="00AB4376">
              <w:rPr>
                <w:rFonts w:ascii="Arial" w:hAnsi="Arial" w:cs="Arial"/>
                <w:sz w:val="20"/>
                <w:szCs w:val="20"/>
              </w:rPr>
              <w:t>/</w:t>
            </w:r>
          </w:p>
        </w:tc>
      </w:tr>
      <w:tr w:rsidR="001C0A05" w:rsidRPr="00AB4376" w:rsidTr="00DE13CC">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1C0A05" w:rsidRPr="00AB4376" w:rsidRDefault="001C0A05" w:rsidP="00DE13CC">
            <w:pPr>
              <w:tabs>
                <w:tab w:val="left" w:pos="567"/>
              </w:tabs>
              <w:spacing w:after="0" w:line="240" w:lineRule="auto"/>
              <w:rPr>
                <w:rFonts w:ascii="Arial" w:hAnsi="Arial" w:cs="Arial"/>
                <w:sz w:val="20"/>
                <w:szCs w:val="20"/>
              </w:rPr>
            </w:pPr>
            <w:r w:rsidRPr="00AB4376">
              <w:rPr>
                <w:rFonts w:ascii="Arial" w:hAnsi="Arial" w:cs="Arial"/>
                <w:sz w:val="20"/>
                <w:szCs w:val="20"/>
              </w:rPr>
              <w:t xml:space="preserve">Dopunska literatura </w:t>
            </w:r>
          </w:p>
          <w:p w:rsidR="001C0A05" w:rsidRPr="00AB4376" w:rsidRDefault="001C0A05" w:rsidP="00DE13CC">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rsidR="001C0A05" w:rsidRPr="00AB4376" w:rsidRDefault="001C0A05" w:rsidP="001C0A05">
            <w:pPr>
              <w:numPr>
                <w:ilvl w:val="0"/>
                <w:numId w:val="4"/>
              </w:numPr>
              <w:tabs>
                <w:tab w:val="left" w:pos="567"/>
              </w:tabs>
              <w:spacing w:after="0" w:line="240" w:lineRule="auto"/>
              <w:rPr>
                <w:rFonts w:ascii="Arial" w:hAnsi="Arial" w:cs="Arial"/>
                <w:sz w:val="20"/>
                <w:szCs w:val="20"/>
              </w:rPr>
            </w:pPr>
            <w:r w:rsidRPr="00AB4376">
              <w:rPr>
                <w:rFonts w:ascii="Arial" w:hAnsi="Arial" w:cs="Arial"/>
                <w:sz w:val="20"/>
                <w:szCs w:val="20"/>
              </w:rPr>
              <w:t xml:space="preserve">Rose, P. S. i Hudgins, S. C. (2013) </w:t>
            </w:r>
            <w:r w:rsidRPr="00AB4376">
              <w:rPr>
                <w:rFonts w:ascii="Arial" w:hAnsi="Arial" w:cs="Arial"/>
                <w:i/>
                <w:sz w:val="20"/>
                <w:szCs w:val="20"/>
              </w:rPr>
              <w:t>Bank Management &amp; Financial Services</w:t>
            </w:r>
            <w:r w:rsidRPr="00AB4376">
              <w:rPr>
                <w:rFonts w:ascii="Arial" w:hAnsi="Arial" w:cs="Arial"/>
                <w:sz w:val="20"/>
                <w:szCs w:val="20"/>
              </w:rPr>
              <w:t>. USA: McGraw-Hill (1 kom).</w:t>
            </w:r>
          </w:p>
          <w:p w:rsidR="001C0A05" w:rsidRPr="00AB4376" w:rsidRDefault="001C0A05" w:rsidP="001C0A05">
            <w:pPr>
              <w:numPr>
                <w:ilvl w:val="0"/>
                <w:numId w:val="4"/>
              </w:numPr>
              <w:tabs>
                <w:tab w:val="left" w:pos="567"/>
              </w:tabs>
              <w:spacing w:after="0" w:line="240" w:lineRule="auto"/>
              <w:rPr>
                <w:rFonts w:ascii="Arial" w:hAnsi="Arial" w:cs="Arial"/>
                <w:sz w:val="20"/>
                <w:szCs w:val="20"/>
              </w:rPr>
            </w:pPr>
            <w:r w:rsidRPr="00AB4376">
              <w:rPr>
                <w:rFonts w:ascii="Arial" w:hAnsi="Arial" w:cs="Arial"/>
                <w:sz w:val="20"/>
                <w:szCs w:val="20"/>
              </w:rPr>
              <w:t xml:space="preserve">Gregurek, M. i Vidaković, N. (2011) </w:t>
            </w:r>
            <w:r w:rsidRPr="00AB4376">
              <w:rPr>
                <w:rFonts w:ascii="Arial" w:hAnsi="Arial" w:cs="Arial"/>
                <w:i/>
                <w:sz w:val="20"/>
                <w:szCs w:val="20"/>
              </w:rPr>
              <w:t>Bankarsko poslovanje</w:t>
            </w:r>
            <w:r w:rsidRPr="00AB4376">
              <w:rPr>
                <w:rFonts w:ascii="Arial" w:hAnsi="Arial" w:cs="Arial"/>
                <w:sz w:val="20"/>
                <w:szCs w:val="20"/>
              </w:rPr>
              <w:t>. Zagreb: RRiF (6 kom).</w:t>
            </w:r>
          </w:p>
          <w:p w:rsidR="001C0A05" w:rsidRPr="00AB4376" w:rsidRDefault="001C0A05" w:rsidP="001C0A05">
            <w:pPr>
              <w:numPr>
                <w:ilvl w:val="0"/>
                <w:numId w:val="4"/>
              </w:numPr>
              <w:tabs>
                <w:tab w:val="left" w:pos="567"/>
              </w:tabs>
              <w:spacing w:after="0" w:line="240" w:lineRule="auto"/>
              <w:rPr>
                <w:rFonts w:ascii="Arial" w:hAnsi="Arial" w:cs="Arial"/>
                <w:sz w:val="20"/>
                <w:szCs w:val="20"/>
              </w:rPr>
            </w:pPr>
            <w:r w:rsidRPr="00AB4376">
              <w:rPr>
                <w:rFonts w:ascii="Arial" w:hAnsi="Arial" w:cs="Arial"/>
                <w:sz w:val="20"/>
                <w:szCs w:val="20"/>
              </w:rPr>
              <w:t xml:space="preserve">Koch, T. W. i MacDonald, S. S. (2000) </w:t>
            </w:r>
            <w:r w:rsidRPr="00AB4376">
              <w:rPr>
                <w:rFonts w:ascii="Arial" w:hAnsi="Arial" w:cs="Arial"/>
                <w:i/>
                <w:sz w:val="20"/>
                <w:szCs w:val="20"/>
              </w:rPr>
              <w:t>Bank Management</w:t>
            </w:r>
            <w:r w:rsidRPr="00AB4376">
              <w:rPr>
                <w:rFonts w:ascii="Arial" w:hAnsi="Arial" w:cs="Arial"/>
                <w:sz w:val="20"/>
                <w:szCs w:val="20"/>
              </w:rPr>
              <w:t>. USA: Dryden Press (2 kom).</w:t>
            </w:r>
          </w:p>
          <w:p w:rsidR="001C0A05" w:rsidRPr="00AB4376" w:rsidRDefault="001C0A05" w:rsidP="001C0A05">
            <w:pPr>
              <w:numPr>
                <w:ilvl w:val="0"/>
                <w:numId w:val="4"/>
              </w:numPr>
              <w:tabs>
                <w:tab w:val="left" w:pos="2820"/>
              </w:tabs>
              <w:spacing w:after="0"/>
              <w:rPr>
                <w:rFonts w:ascii="Arial" w:hAnsi="Arial" w:cs="Arial"/>
                <w:sz w:val="20"/>
                <w:szCs w:val="20"/>
              </w:rPr>
            </w:pPr>
            <w:r w:rsidRPr="00AB4376">
              <w:rPr>
                <w:rFonts w:ascii="Arial" w:hAnsi="Arial" w:cs="Arial"/>
                <w:sz w:val="20"/>
                <w:szCs w:val="20"/>
              </w:rPr>
              <w:t xml:space="preserve">Šverko, I. (2007) </w:t>
            </w:r>
            <w:r w:rsidRPr="00AB4376">
              <w:rPr>
                <w:rFonts w:ascii="Arial" w:hAnsi="Arial" w:cs="Arial"/>
                <w:i/>
                <w:sz w:val="20"/>
                <w:szCs w:val="20"/>
              </w:rPr>
              <w:t>Upravljanje nekreditnim rizicima u hrvatskim financijskim institucijama</w:t>
            </w:r>
            <w:r w:rsidRPr="00AB4376">
              <w:rPr>
                <w:rFonts w:ascii="Arial" w:hAnsi="Arial" w:cs="Arial"/>
                <w:sz w:val="20"/>
                <w:szCs w:val="20"/>
              </w:rPr>
              <w:t>. Zagreb: HIBO (3 kom).</w:t>
            </w:r>
          </w:p>
        </w:tc>
      </w:tr>
      <w:tr w:rsidR="001C0A05" w:rsidRPr="00AB4376" w:rsidTr="00DE13CC">
        <w:tc>
          <w:tcPr>
            <w:tcW w:w="1912" w:type="dxa"/>
            <w:gridSpan w:val="2"/>
            <w:tcBorders>
              <w:left w:val="single" w:sz="12" w:space="0" w:color="auto"/>
            </w:tcBorders>
            <w:shd w:val="clear" w:color="auto" w:fill="CCFFFF"/>
            <w:tcMar>
              <w:left w:w="57" w:type="dxa"/>
              <w:right w:w="57" w:type="dxa"/>
            </w:tcMar>
            <w:vAlign w:val="center"/>
          </w:tcPr>
          <w:p w:rsidR="001C0A05" w:rsidRPr="00AB4376" w:rsidRDefault="001C0A05" w:rsidP="00DE13CC">
            <w:pPr>
              <w:tabs>
                <w:tab w:val="left" w:pos="567"/>
              </w:tabs>
              <w:spacing w:after="0" w:line="240" w:lineRule="auto"/>
              <w:rPr>
                <w:rFonts w:ascii="Arial" w:hAnsi="Arial" w:cs="Arial"/>
                <w:sz w:val="20"/>
                <w:szCs w:val="20"/>
              </w:rPr>
            </w:pPr>
            <w:r w:rsidRPr="00AB4376">
              <w:rPr>
                <w:rFonts w:ascii="Arial" w:hAnsi="Arial" w:cs="Arial"/>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1C0A05" w:rsidRPr="00AB4376" w:rsidRDefault="001C0A05" w:rsidP="001C0A05">
            <w:pPr>
              <w:numPr>
                <w:ilvl w:val="0"/>
                <w:numId w:val="3"/>
              </w:numPr>
              <w:spacing w:after="0" w:line="240" w:lineRule="auto"/>
              <w:ind w:left="714" w:hanging="357"/>
              <w:jc w:val="both"/>
              <w:rPr>
                <w:rFonts w:ascii="Arial" w:hAnsi="Arial" w:cs="Arial"/>
                <w:bCs/>
                <w:sz w:val="20"/>
                <w:szCs w:val="20"/>
              </w:rPr>
            </w:pPr>
            <w:r w:rsidRPr="00AB4376">
              <w:rPr>
                <w:rFonts w:ascii="Arial" w:hAnsi="Arial" w:cs="Arial"/>
                <w:bCs/>
                <w:sz w:val="20"/>
                <w:szCs w:val="20"/>
              </w:rPr>
              <w:t>Praćenje pohađanja nastave i uspješnosti izvršenja ostalih obveza studenata (nastavnik)</w:t>
            </w:r>
          </w:p>
          <w:p w:rsidR="001C0A05" w:rsidRPr="00AB4376" w:rsidRDefault="001C0A05" w:rsidP="001C0A05">
            <w:pPr>
              <w:numPr>
                <w:ilvl w:val="0"/>
                <w:numId w:val="3"/>
              </w:numPr>
              <w:spacing w:after="0" w:line="240" w:lineRule="auto"/>
              <w:ind w:left="714" w:hanging="357"/>
              <w:jc w:val="both"/>
              <w:rPr>
                <w:rFonts w:ascii="Arial" w:hAnsi="Arial" w:cs="Arial"/>
                <w:bCs/>
                <w:sz w:val="20"/>
                <w:szCs w:val="20"/>
              </w:rPr>
            </w:pPr>
            <w:r w:rsidRPr="00AB4376">
              <w:rPr>
                <w:rFonts w:ascii="Arial" w:hAnsi="Arial" w:cs="Arial"/>
                <w:bCs/>
                <w:sz w:val="20"/>
                <w:szCs w:val="20"/>
              </w:rPr>
              <w:t>Nadzor izvođenja nastave (prodekan za nastavu)</w:t>
            </w:r>
          </w:p>
          <w:p w:rsidR="001C0A05" w:rsidRPr="00AB4376" w:rsidRDefault="001C0A05" w:rsidP="001C0A05">
            <w:pPr>
              <w:numPr>
                <w:ilvl w:val="0"/>
                <w:numId w:val="3"/>
              </w:numPr>
              <w:spacing w:after="0" w:line="240" w:lineRule="auto"/>
              <w:ind w:left="714" w:hanging="357"/>
              <w:jc w:val="both"/>
              <w:rPr>
                <w:rFonts w:ascii="Arial" w:hAnsi="Arial" w:cs="Arial"/>
                <w:bCs/>
                <w:sz w:val="20"/>
                <w:szCs w:val="20"/>
              </w:rPr>
            </w:pPr>
            <w:r w:rsidRPr="00AB4376">
              <w:rPr>
                <w:rFonts w:ascii="Arial" w:hAnsi="Arial" w:cs="Arial"/>
                <w:bCs/>
                <w:sz w:val="20"/>
                <w:szCs w:val="20"/>
              </w:rPr>
              <w:t>Analiza uspješnosti studiranja po svim predmetima studija (prodekan za nastavu)</w:t>
            </w:r>
          </w:p>
          <w:p w:rsidR="001C0A05" w:rsidRPr="00AB4376" w:rsidRDefault="001C0A05" w:rsidP="001C0A05">
            <w:pPr>
              <w:numPr>
                <w:ilvl w:val="0"/>
                <w:numId w:val="3"/>
              </w:numPr>
              <w:spacing w:after="0" w:line="240" w:lineRule="auto"/>
              <w:ind w:left="714" w:hanging="357"/>
              <w:jc w:val="both"/>
              <w:rPr>
                <w:rFonts w:ascii="Arial" w:hAnsi="Arial" w:cs="Arial"/>
                <w:bCs/>
                <w:sz w:val="20"/>
                <w:szCs w:val="20"/>
              </w:rPr>
            </w:pPr>
            <w:r w:rsidRPr="00AB4376">
              <w:rPr>
                <w:rFonts w:ascii="Arial" w:hAnsi="Arial" w:cs="Arial"/>
                <w:bCs/>
                <w:sz w:val="20"/>
                <w:szCs w:val="20"/>
              </w:rPr>
              <w:t>Studentska anketa o kvaliteti nastavnika i nastave za svaki predmet studija (UNIST, Centar za unaprjeđenje kvalitete)</w:t>
            </w:r>
          </w:p>
          <w:p w:rsidR="001C0A05" w:rsidRPr="00AB4376" w:rsidRDefault="001C0A05" w:rsidP="001C0A05">
            <w:pPr>
              <w:numPr>
                <w:ilvl w:val="0"/>
                <w:numId w:val="3"/>
              </w:numPr>
              <w:spacing w:after="0" w:line="240" w:lineRule="auto"/>
              <w:ind w:left="714" w:hanging="357"/>
              <w:jc w:val="both"/>
              <w:rPr>
                <w:rFonts w:ascii="Arial" w:hAnsi="Arial" w:cs="Arial"/>
                <w:bCs/>
                <w:sz w:val="20"/>
                <w:szCs w:val="20"/>
              </w:rPr>
            </w:pPr>
            <w:r w:rsidRPr="00AB4376">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1C0A05" w:rsidRPr="00AB4376" w:rsidTr="00DE13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1C0A05" w:rsidRPr="00AB4376" w:rsidRDefault="001C0A05" w:rsidP="00DE13CC">
            <w:pPr>
              <w:tabs>
                <w:tab w:val="left" w:pos="567"/>
              </w:tabs>
              <w:spacing w:after="0" w:line="240" w:lineRule="auto"/>
              <w:rPr>
                <w:rFonts w:ascii="Arial" w:hAnsi="Arial" w:cs="Arial"/>
                <w:sz w:val="20"/>
                <w:szCs w:val="20"/>
              </w:rPr>
            </w:pPr>
            <w:r w:rsidRPr="00AB4376">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1C0A05" w:rsidRPr="00AB4376" w:rsidRDefault="001C0A05" w:rsidP="00DE13CC">
            <w:pPr>
              <w:tabs>
                <w:tab w:val="left" w:pos="2820"/>
              </w:tabs>
              <w:spacing w:after="0"/>
              <w:rPr>
                <w:rFonts w:ascii="Arial" w:hAnsi="Arial" w:cs="Arial"/>
                <w:sz w:val="20"/>
                <w:szCs w:val="20"/>
              </w:rPr>
            </w:pPr>
            <w:r w:rsidRPr="00AB4376">
              <w:rPr>
                <w:rFonts w:ascii="Arial" w:hAnsi="Arial" w:cs="Arial"/>
                <w:sz w:val="20"/>
                <w:szCs w:val="20"/>
              </w:rPr>
              <w:t>Nastava se izvodi na hrvatskom i engleskom jeziku.</w:t>
            </w:r>
          </w:p>
        </w:tc>
      </w:tr>
    </w:tbl>
    <w:p w:rsidR="00105D25" w:rsidRDefault="00105D25"/>
    <w:sectPr w:rsidR="00105D25" w:rsidSect="00105D2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6E0D" w:rsidRDefault="005A6E0D" w:rsidP="001C0A05">
      <w:pPr>
        <w:spacing w:after="0" w:line="240" w:lineRule="auto"/>
      </w:pPr>
      <w:r>
        <w:separator/>
      </w:r>
    </w:p>
  </w:endnote>
  <w:endnote w:type="continuationSeparator" w:id="0">
    <w:p w:rsidR="005A6E0D" w:rsidRDefault="005A6E0D" w:rsidP="001C0A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6E0D" w:rsidRDefault="005A6E0D" w:rsidP="001C0A05">
      <w:pPr>
        <w:spacing w:after="0" w:line="240" w:lineRule="auto"/>
      </w:pPr>
      <w:r>
        <w:separator/>
      </w:r>
    </w:p>
  </w:footnote>
  <w:footnote w:type="continuationSeparator" w:id="0">
    <w:p w:rsidR="005A6E0D" w:rsidRDefault="005A6E0D" w:rsidP="001C0A0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1303AB"/>
    <w:multiLevelType w:val="multilevel"/>
    <w:tmpl w:val="D0CC973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3E4B7FF6"/>
    <w:multiLevelType w:val="hybridMultilevel"/>
    <w:tmpl w:val="B39882E8"/>
    <w:lvl w:ilvl="0" w:tplc="5CDCD618">
      <w:start w:val="1"/>
      <w:numFmt w:val="decimal"/>
      <w:lvlText w:val="%1."/>
      <w:lvlJc w:val="left"/>
      <w:pPr>
        <w:tabs>
          <w:tab w:val="num" w:pos="720"/>
        </w:tabs>
        <w:ind w:left="720" w:hanging="360"/>
      </w:pPr>
      <w:rPr>
        <w:rFonts w:hint="default"/>
      </w:rPr>
    </w:lvl>
    <w:lvl w:ilvl="1" w:tplc="041A000F">
      <w:start w:val="1"/>
      <w:numFmt w:val="decimal"/>
      <w:lvlText w:val="%2."/>
      <w:lvlJc w:val="left"/>
      <w:pPr>
        <w:tabs>
          <w:tab w:val="num" w:pos="1440"/>
        </w:tabs>
        <w:ind w:left="1440" w:hanging="360"/>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nsid w:val="423A6F46"/>
    <w:multiLevelType w:val="hybridMultilevel"/>
    <w:tmpl w:val="A1BE7174"/>
    <w:lvl w:ilvl="0" w:tplc="E9E24612">
      <w:start w:val="1"/>
      <w:numFmt w:val="decimal"/>
      <w:lvlText w:val="%1."/>
      <w:lvlJc w:val="left"/>
      <w:pPr>
        <w:tabs>
          <w:tab w:val="num" w:pos="720"/>
        </w:tabs>
        <w:ind w:left="720" w:hanging="360"/>
      </w:pPr>
      <w:rPr>
        <w:rFonts w:ascii="Arial" w:hAnsi="Arial" w:cs="Arial" w:hint="default"/>
        <w:sz w:val="20"/>
        <w:szCs w:val="20"/>
      </w:rPr>
    </w:lvl>
    <w:lvl w:ilvl="1" w:tplc="041A000F">
      <w:start w:val="1"/>
      <w:numFmt w:val="decimal"/>
      <w:lvlText w:val="%2."/>
      <w:lvlJc w:val="left"/>
      <w:pPr>
        <w:tabs>
          <w:tab w:val="num" w:pos="1440"/>
        </w:tabs>
        <w:ind w:left="1440" w:hanging="360"/>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nsid w:val="483E38F1"/>
    <w:multiLevelType w:val="hybridMultilevel"/>
    <w:tmpl w:val="477A8CB0"/>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4">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nsid w:val="6BD76C40"/>
    <w:multiLevelType w:val="multilevel"/>
    <w:tmpl w:val="C5CA74F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5"/>
  </w:num>
  <w:num w:numId="3">
    <w:abstractNumId w:val="4"/>
  </w:num>
  <w:num w:numId="4">
    <w:abstractNumId w:val="0"/>
  </w:num>
  <w:num w:numId="5">
    <w:abstractNumId w:val="6"/>
  </w:num>
  <w:num w:numId="6">
    <w:abstractNumId w:val="2"/>
  </w:num>
  <w:num w:numId="7">
    <w:abstractNumId w:val="1"/>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trackRevisions/>
  <w:defaultTabStop w:val="708"/>
  <w:hyphenationZone w:val="425"/>
  <w:characterSpacingControl w:val="doNotCompress"/>
  <w:footnotePr>
    <w:footnote w:id="-1"/>
    <w:footnote w:id="0"/>
  </w:footnotePr>
  <w:endnotePr>
    <w:endnote w:id="-1"/>
    <w:endnote w:id="0"/>
  </w:endnotePr>
  <w:compat/>
  <w:rsids>
    <w:rsidRoot w:val="001C0A05"/>
    <w:rsid w:val="000D34CF"/>
    <w:rsid w:val="00105D25"/>
    <w:rsid w:val="00123D2D"/>
    <w:rsid w:val="001C0A05"/>
    <w:rsid w:val="002935B0"/>
    <w:rsid w:val="00381DCA"/>
    <w:rsid w:val="003C3FB8"/>
    <w:rsid w:val="003D41F6"/>
    <w:rsid w:val="004D09F1"/>
    <w:rsid w:val="004D4CCE"/>
    <w:rsid w:val="005A6E0D"/>
    <w:rsid w:val="00650F6E"/>
    <w:rsid w:val="007D7E47"/>
    <w:rsid w:val="007E56E7"/>
    <w:rsid w:val="008B5465"/>
    <w:rsid w:val="00955B22"/>
    <w:rsid w:val="00984067"/>
    <w:rsid w:val="009E5949"/>
    <w:rsid w:val="00AF7F27"/>
    <w:rsid w:val="00D14EB5"/>
    <w:rsid w:val="00D15560"/>
    <w:rsid w:val="00D66146"/>
    <w:rsid w:val="00DC4FDF"/>
    <w:rsid w:val="00EF3B9A"/>
    <w:rsid w:val="00F4542E"/>
    <w:rsid w:val="00F53080"/>
    <w:rsid w:val="00F7183A"/>
    <w:rsid w:val="00F940A6"/>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0A05"/>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1C0A05"/>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1C0A05"/>
    <w:rPr>
      <w:rFonts w:cs="Times New Roman"/>
      <w:b/>
      <w:bCs/>
    </w:rPr>
  </w:style>
  <w:style w:type="paragraph" w:styleId="Header">
    <w:name w:val="header"/>
    <w:basedOn w:val="Normal"/>
    <w:link w:val="HeaderChar"/>
    <w:uiPriority w:val="99"/>
    <w:semiHidden/>
    <w:unhideWhenUsed/>
    <w:rsid w:val="001C0A05"/>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1C0A05"/>
    <w:rPr>
      <w:rFonts w:ascii="Calibri" w:eastAsia="Calibri" w:hAnsi="Calibri" w:cs="Times New Roman"/>
    </w:rPr>
  </w:style>
  <w:style w:type="paragraph" w:styleId="Footer">
    <w:name w:val="footer"/>
    <w:basedOn w:val="Normal"/>
    <w:link w:val="FooterChar"/>
    <w:uiPriority w:val="99"/>
    <w:semiHidden/>
    <w:unhideWhenUsed/>
    <w:rsid w:val="001C0A05"/>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1C0A05"/>
    <w:rPr>
      <w:rFonts w:ascii="Calibri" w:eastAsia="Calibri" w:hAnsi="Calibri" w:cs="Times New Roman"/>
    </w:rPr>
  </w:style>
  <w:style w:type="paragraph" w:styleId="BalloonText">
    <w:name w:val="Balloon Text"/>
    <w:basedOn w:val="Normal"/>
    <w:link w:val="BalloonTextChar"/>
    <w:uiPriority w:val="99"/>
    <w:semiHidden/>
    <w:unhideWhenUsed/>
    <w:rsid w:val="00D155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5560"/>
    <w:rPr>
      <w:rFonts w:ascii="Tahoma" w:eastAsia="Calibri" w:hAnsi="Tahoma" w:cs="Tahoma"/>
      <w:sz w:val="16"/>
      <w:szCs w:val="16"/>
    </w:rPr>
  </w:style>
  <w:style w:type="paragraph" w:styleId="ListParagraph">
    <w:name w:val="List Paragraph"/>
    <w:basedOn w:val="Normal"/>
    <w:uiPriority w:val="34"/>
    <w:qFormat/>
    <w:rsid w:val="00D1556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0A05"/>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1C0A05"/>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1C0A05"/>
    <w:rPr>
      <w:rFonts w:cs="Times New Roman"/>
      <w:b/>
      <w:bCs/>
    </w:rPr>
  </w:style>
  <w:style w:type="paragraph" w:styleId="Header">
    <w:name w:val="header"/>
    <w:basedOn w:val="Normal"/>
    <w:link w:val="HeaderChar"/>
    <w:uiPriority w:val="99"/>
    <w:semiHidden/>
    <w:unhideWhenUsed/>
    <w:rsid w:val="001C0A05"/>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1C0A05"/>
    <w:rPr>
      <w:rFonts w:ascii="Calibri" w:eastAsia="Calibri" w:hAnsi="Calibri" w:cs="Times New Roman"/>
    </w:rPr>
  </w:style>
  <w:style w:type="paragraph" w:styleId="Footer">
    <w:name w:val="footer"/>
    <w:basedOn w:val="Normal"/>
    <w:link w:val="FooterChar"/>
    <w:uiPriority w:val="99"/>
    <w:semiHidden/>
    <w:unhideWhenUsed/>
    <w:rsid w:val="001C0A05"/>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1C0A05"/>
    <w:rPr>
      <w:rFonts w:ascii="Calibri" w:eastAsia="Calibri" w:hAnsi="Calibri" w:cs="Times New Roman"/>
    </w:rPr>
  </w:style>
  <w:style w:type="paragraph" w:styleId="BalloonText">
    <w:name w:val="Balloon Text"/>
    <w:basedOn w:val="Normal"/>
    <w:link w:val="BalloonTextChar"/>
    <w:uiPriority w:val="99"/>
    <w:semiHidden/>
    <w:unhideWhenUsed/>
    <w:rsid w:val="00D155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5560"/>
    <w:rPr>
      <w:rFonts w:ascii="Tahoma" w:eastAsia="Calibri" w:hAnsi="Tahoma" w:cs="Tahoma"/>
      <w:sz w:val="16"/>
      <w:szCs w:val="16"/>
    </w:rPr>
  </w:style>
  <w:style w:type="paragraph" w:styleId="ListParagraph">
    <w:name w:val="List Paragraph"/>
    <w:basedOn w:val="Normal"/>
    <w:uiPriority w:val="34"/>
    <w:qFormat/>
    <w:rsid w:val="00D1556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72DB3-9D5F-49C2-8B23-7B9A8FE9E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1216</Words>
  <Characters>6932</Characters>
  <Application>Microsoft Office Word</Application>
  <DocSecurity>0</DocSecurity>
  <Lines>57</Lines>
  <Paragraphs>16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SG Splitska Banka</Company>
  <LinksUpToDate>false</LinksUpToDate>
  <CharactersWithSpaces>8132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3</cp:revision>
  <dcterms:created xsi:type="dcterms:W3CDTF">2018-06-07T08:01:00Z</dcterms:created>
  <dcterms:modified xsi:type="dcterms:W3CDTF">2018-06-07T08:12:00Z</dcterms:modified>
</cp:coreProperties>
</file>